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C064" w14:textId="1C3B2347" w:rsidR="0EF48C3E" w:rsidRDefault="0EF48C3E" w:rsidP="77948C59">
      <w:pPr>
        <w:pStyle w:val="Heading1smaller"/>
      </w:pPr>
      <w:r>
        <w:t>Climate Risk and Adaptation Monitoring Templ</w:t>
      </w:r>
      <w:r w:rsidR="58D95680">
        <w:t>a</w:t>
      </w:r>
      <w:r>
        <w:t>te</w:t>
      </w:r>
    </w:p>
    <w:p w14:paraId="13C1E920" w14:textId="77777777" w:rsidR="198F3177" w:rsidRDefault="198F3177" w:rsidP="77948C59">
      <w:pPr>
        <w:pStyle w:val="Introduction-insidebluebox"/>
      </w:pPr>
      <w:r>
        <w:t>Introduction</w:t>
      </w:r>
    </w:p>
    <w:p w14:paraId="6909657D" w14:textId="77777777" w:rsidR="198F3177" w:rsidRDefault="198F3177" w:rsidP="77948C59">
      <w:pPr>
        <w:pStyle w:val="Body0"/>
      </w:pPr>
      <w:r>
        <w:t xml:space="preserve">This document provides a template to support implementation, monitoring and evaluation for climate change adaptation projects and strategy. Monitoring and evaluation of Council’s climate risk management practices is essential to support the implementation of Climate Change Risk Assessment and Adaptation Plans. Further information on developing a Monitoring and Evaluation Plan is provided in step 4 of the </w:t>
      </w:r>
      <w:hyperlink r:id="rId10">
        <w:r w:rsidRPr="77948C59">
          <w:rPr>
            <w:rStyle w:val="Hyperlink"/>
            <w:i/>
            <w:iCs/>
          </w:rPr>
          <w:t>Climate risk ready NSW guide</w:t>
        </w:r>
      </w:hyperlink>
      <w:r>
        <w:t>.</w:t>
      </w:r>
    </w:p>
    <w:p w14:paraId="61D9D3F5" w14:textId="77777777" w:rsidR="198F3177" w:rsidRDefault="198F3177" w:rsidP="77948C59">
      <w:pPr>
        <w:pStyle w:val="Body0"/>
      </w:pPr>
      <w:r>
        <w:t>Development of your Monitoring and Evaluation Plan should consider both the process of adaptation (supporting the implementation of adaptation measures) and the outcomes of adaptation (achieving the intended adaptation objectives).</w:t>
      </w:r>
    </w:p>
    <w:p w14:paraId="38E44428" w14:textId="01CEDA9C" w:rsidR="198F3177" w:rsidRDefault="198F3177" w:rsidP="77948C59">
      <w:pPr>
        <w:pStyle w:val="Body0"/>
      </w:pPr>
      <w:r>
        <w:t xml:space="preserve">The current and targeted risk maturity level of your organisation should be considered during the development of the Monitoring and Evaluation Plan. Refer to the </w:t>
      </w:r>
      <w:hyperlink r:id="rId11" w:history="1">
        <w:r w:rsidRPr="00DE4799">
          <w:rPr>
            <w:rStyle w:val="Hyperlink"/>
          </w:rPr>
          <w:t>NSW Local Government Climate Readiness Tool</w:t>
        </w:r>
      </w:hyperlink>
      <w:r>
        <w:t xml:space="preserve"> (definitions table 1a: Climate risk maturity levels – Maturity level definitions and actions to change/improve) for examples of potential outcomes over time. This template provides suggested metrics across each maturity level for your review and revision.</w:t>
      </w:r>
    </w:p>
    <w:p w14:paraId="256867D0" w14:textId="77777777" w:rsidR="198F3177" w:rsidRDefault="198F3177" w:rsidP="77948C59">
      <w:pPr>
        <w:pStyle w:val="Body0"/>
      </w:pPr>
      <w:r>
        <w:t>Monitoring and evaluation should be embedded in organisational processes. Opportunities should be sought to seek alignment with reviews of existing corporate risk registers, local government integrated planning and reporting (IP&amp;R) requirements, and other reporting frameworks. It is recommended that an organisation reviews climate change risks every 5 years, at a minimum (DPIE, 2021). Ideally, this template can be used to measure progress on an annual basis.</w:t>
      </w:r>
    </w:p>
    <w:p w14:paraId="636129FE" w14:textId="77777777" w:rsidR="198F3177" w:rsidRDefault="198F3177" w:rsidP="77948C59">
      <w:pPr>
        <w:pStyle w:val="Body0"/>
      </w:pPr>
      <w:r>
        <w:t>Proposed metrics can be included in the Climate Change Risk Assessment and Adaptation Plan. To support broader transformative and cultural change, further work may need to be undertaken to develop a theory of change or learning framework (for further information, see Adaptation Scotland (2019) and DELWP (2020)).</w:t>
      </w:r>
    </w:p>
    <w:tbl>
      <w:tblPr>
        <w:tblStyle w:val="NSW-DPIEExplanatoryText"/>
        <w:tblW w:w="0" w:type="auto"/>
        <w:tblLook w:val="04A0" w:firstRow="1" w:lastRow="0" w:firstColumn="1" w:lastColumn="0" w:noHBand="0" w:noVBand="1"/>
      </w:tblPr>
      <w:tblGrid>
        <w:gridCol w:w="9628"/>
      </w:tblGrid>
      <w:tr w:rsidR="001B5A8A" w14:paraId="05DAF96F" w14:textId="77777777" w:rsidTr="001B5A8A">
        <w:tc>
          <w:tcPr>
            <w:tcW w:w="9628" w:type="dxa"/>
          </w:tcPr>
          <w:p w14:paraId="745C040D" w14:textId="4FEFB4A4" w:rsidR="001B5A8A" w:rsidRDefault="001B5A8A" w:rsidP="001B5A8A">
            <w:pPr>
              <w:pStyle w:val="BulletLead11pt"/>
            </w:pPr>
            <w:r w:rsidRPr="005F2A0F">
              <w:t>This d</w:t>
            </w:r>
            <w:r>
              <w:t>ocument provides:</w:t>
            </w:r>
          </w:p>
          <w:p w14:paraId="09144F7A" w14:textId="5009C676" w:rsidR="001B5A8A" w:rsidRPr="005F2A0F" w:rsidRDefault="002A4A97" w:rsidP="001B5A8A">
            <w:pPr>
              <w:pStyle w:val="Bullet1"/>
            </w:pPr>
            <w:r>
              <w:t>a</w:t>
            </w:r>
            <w:r w:rsidR="001B5A8A" w:rsidRPr="005F2A0F">
              <w:t xml:space="preserve"> </w:t>
            </w:r>
            <w:r>
              <w:t>M</w:t>
            </w:r>
            <w:r w:rsidR="001B5A8A" w:rsidRPr="005F2A0F">
              <w:t xml:space="preserve">onitoring and </w:t>
            </w:r>
            <w:r>
              <w:t>E</w:t>
            </w:r>
            <w:r w:rsidR="001B5A8A" w:rsidRPr="005F2A0F">
              <w:t xml:space="preserve">valuation </w:t>
            </w:r>
            <w:r>
              <w:t>T</w:t>
            </w:r>
            <w:r w:rsidR="001B5A8A" w:rsidRPr="005F2A0F">
              <w:t>emplate aligned t</w:t>
            </w:r>
            <w:r w:rsidR="001B5A8A">
              <w:t>o the ‘</w:t>
            </w:r>
            <w:r>
              <w:t>b</w:t>
            </w:r>
            <w:r w:rsidR="001B5A8A">
              <w:t xml:space="preserve">asic’ level of </w:t>
            </w:r>
            <w:r>
              <w:t xml:space="preserve">climate risk </w:t>
            </w:r>
            <w:r w:rsidR="001B5A8A">
              <w:t>maturity</w:t>
            </w:r>
          </w:p>
          <w:p w14:paraId="6B39AC65" w14:textId="7D9DB676" w:rsidR="001B5A8A" w:rsidRPr="005F2A0F" w:rsidRDefault="002A4A97" w:rsidP="001B5A8A">
            <w:pPr>
              <w:pStyle w:val="Bullet1"/>
            </w:pPr>
            <w:r>
              <w:t>a</w:t>
            </w:r>
            <w:r w:rsidR="001B5A8A" w:rsidRPr="005F2A0F">
              <w:t xml:space="preserve"> </w:t>
            </w:r>
            <w:r>
              <w:t>M</w:t>
            </w:r>
            <w:r w:rsidR="001B5A8A" w:rsidRPr="005F2A0F">
              <w:t xml:space="preserve">onitoring and </w:t>
            </w:r>
            <w:r>
              <w:t>E</w:t>
            </w:r>
            <w:r w:rsidR="001B5A8A" w:rsidRPr="005F2A0F">
              <w:t xml:space="preserve">valuation </w:t>
            </w:r>
            <w:r>
              <w:t>T</w:t>
            </w:r>
            <w:r w:rsidR="001B5A8A" w:rsidRPr="005F2A0F">
              <w:t xml:space="preserve">emplate for maturity levels beyond </w:t>
            </w:r>
            <w:r>
              <w:t>the basic</w:t>
            </w:r>
            <w:r w:rsidRPr="005F2A0F">
              <w:t xml:space="preserve"> </w:t>
            </w:r>
            <w:r w:rsidR="001B5A8A" w:rsidRPr="005F2A0F">
              <w:t>level of maturity</w:t>
            </w:r>
          </w:p>
          <w:p w14:paraId="1E979DEC" w14:textId="51C4CC8E" w:rsidR="001B5A8A" w:rsidRPr="005F2A0F" w:rsidRDefault="002A4A97" w:rsidP="001B5A8A">
            <w:pPr>
              <w:pStyle w:val="Bullet1"/>
            </w:pPr>
            <w:r>
              <w:lastRenderedPageBreak/>
              <w:t>a</w:t>
            </w:r>
            <w:r w:rsidR="001B5A8A" w:rsidRPr="005F2A0F">
              <w:t xml:space="preserve"> list of suggested outcomes and metric</w:t>
            </w:r>
            <w:r>
              <w:t>s</w:t>
            </w:r>
            <w:r w:rsidR="001B5A8A" w:rsidRPr="005F2A0F">
              <w:t>/targe</w:t>
            </w:r>
            <w:r w:rsidR="001B5A8A">
              <w:t>ts against each maturity level</w:t>
            </w:r>
            <w:r>
              <w:t>.</w:t>
            </w:r>
          </w:p>
          <w:p w14:paraId="39922AB2" w14:textId="6F41BA3D" w:rsidR="001B5A8A" w:rsidRPr="005F2A0F" w:rsidRDefault="001B5A8A" w:rsidP="002A4A97">
            <w:pPr>
              <w:pStyle w:val="Body0"/>
            </w:pPr>
            <w:r w:rsidRPr="005F2A0F">
              <w:t xml:space="preserve">Maturity levels are as </w:t>
            </w:r>
            <w:r w:rsidRPr="00DE4799">
              <w:t xml:space="preserve">described in the </w:t>
            </w:r>
            <w:hyperlink r:id="rId12" w:history="1">
              <w:r w:rsidR="00B81776" w:rsidRPr="00DE4799">
                <w:rPr>
                  <w:rStyle w:val="Hyperlink"/>
                </w:rPr>
                <w:t xml:space="preserve">Local Government </w:t>
              </w:r>
              <w:r w:rsidR="00C97776" w:rsidRPr="00DE4799">
                <w:rPr>
                  <w:rStyle w:val="Hyperlink"/>
                </w:rPr>
                <w:t>Climate Readiness</w:t>
              </w:r>
              <w:r w:rsidRPr="00DE4799">
                <w:rPr>
                  <w:rStyle w:val="Hyperlink"/>
                </w:rPr>
                <w:t xml:space="preserve"> Tool</w:t>
              </w:r>
            </w:hyperlink>
            <w:r w:rsidRPr="00DE4799">
              <w:t xml:space="preserve"> </w:t>
            </w:r>
            <w:r w:rsidR="00BF7221" w:rsidRPr="00DE4799">
              <w:t>(</w:t>
            </w:r>
            <w:r w:rsidRPr="00DE4799">
              <w:t>Definitions</w:t>
            </w:r>
            <w:r w:rsidRPr="00BF7221">
              <w:t xml:space="preserve"> table 1a: Climate risk maturity levels</w:t>
            </w:r>
            <w:r w:rsidR="00BF7221">
              <w:t>)</w:t>
            </w:r>
            <w:r w:rsidR="002A4A97" w:rsidRPr="00BF7221">
              <w:t>.</w:t>
            </w:r>
          </w:p>
          <w:p w14:paraId="377CBED7" w14:textId="3E5E7CCD" w:rsidR="001B5A8A" w:rsidRDefault="002A4A97" w:rsidP="001B5A8A">
            <w:pPr>
              <w:pStyle w:val="Body0"/>
            </w:pPr>
            <w:r>
              <w:t>T</w:t>
            </w:r>
            <w:r w:rsidR="001B5A8A" w:rsidRPr="005F2A0F">
              <w:t>ext for revision</w:t>
            </w:r>
            <w:r>
              <w:t xml:space="preserve"> in this template is shown in </w:t>
            </w:r>
            <w:r w:rsidRPr="002A4A97">
              <w:rPr>
                <w:color w:val="002664"/>
              </w:rPr>
              <w:t>blue</w:t>
            </w:r>
            <w:r w:rsidR="001B5A8A" w:rsidRPr="005F2A0F">
              <w:t xml:space="preserve">. </w:t>
            </w:r>
            <w:r w:rsidR="00EA211D">
              <w:t>This text should be developed</w:t>
            </w:r>
            <w:r w:rsidR="00EA211D" w:rsidRPr="005F2A0F" w:rsidDel="00EA211D">
              <w:t xml:space="preserve"> </w:t>
            </w:r>
            <w:r w:rsidR="001B5A8A" w:rsidRPr="005F2A0F">
              <w:t>in consultation with relevant business areas in Council and other stakeholders</w:t>
            </w:r>
            <w:r w:rsidR="00EA211D">
              <w:t>,</w:t>
            </w:r>
            <w:r w:rsidR="001B5A8A" w:rsidRPr="005F2A0F">
              <w:t xml:space="preserve"> where relevant. Some details such as timeframes or measures are highlighted for revision in </w:t>
            </w:r>
            <w:r w:rsidR="001B5A8A" w:rsidRPr="005F2A0F">
              <w:rPr>
                <w:highlight w:val="yellow"/>
              </w:rPr>
              <w:t>yellow.</w:t>
            </w:r>
          </w:p>
          <w:p w14:paraId="31863CE5" w14:textId="4095D4BF" w:rsidR="001B5A8A" w:rsidRDefault="001B5A8A" w:rsidP="00BF7221">
            <w:pPr>
              <w:pStyle w:val="Body0"/>
            </w:pPr>
            <w:r w:rsidRPr="00836089">
              <w:t>Explanatory text and examples are provided in text boxes like this one.</w:t>
            </w:r>
          </w:p>
        </w:tc>
      </w:tr>
    </w:tbl>
    <w:p w14:paraId="4962DB44" w14:textId="71092F0F" w:rsidR="005538F4" w:rsidRPr="005F2A0F" w:rsidRDefault="005538F4" w:rsidP="00357FE4">
      <w:pPr>
        <w:pStyle w:val="Heading218pt"/>
      </w:pPr>
      <w:r w:rsidRPr="005F2A0F">
        <w:lastRenderedPageBreak/>
        <w:t xml:space="preserve">Monitoring </w:t>
      </w:r>
      <w:r w:rsidRPr="005F20A0">
        <w:t>and</w:t>
      </w:r>
      <w:r w:rsidRPr="005F2A0F">
        <w:t xml:space="preserve"> </w:t>
      </w:r>
      <w:r w:rsidR="00EA211D">
        <w:t>E</w:t>
      </w:r>
      <w:r w:rsidRPr="005F2A0F">
        <w:t xml:space="preserve">valuation </w:t>
      </w:r>
      <w:r w:rsidR="00EA211D">
        <w:t>T</w:t>
      </w:r>
      <w:r w:rsidRPr="005F2A0F">
        <w:t xml:space="preserve">emplate – </w:t>
      </w:r>
      <w:r w:rsidR="00EA211D">
        <w:t>b</w:t>
      </w:r>
      <w:r w:rsidRPr="005F2A0F">
        <w:t>asic</w:t>
      </w:r>
    </w:p>
    <w:p w14:paraId="728DA139" w14:textId="423F434B" w:rsidR="004A3111" w:rsidRPr="002B6A77" w:rsidRDefault="005538F4" w:rsidP="001B5A8A">
      <w:pPr>
        <w:pStyle w:val="Body0"/>
        <w:rPr>
          <w:color w:val="002664"/>
        </w:rPr>
      </w:pPr>
      <w:r w:rsidRPr="002B6A77">
        <w:rPr>
          <w:color w:val="002664"/>
        </w:rPr>
        <w:t xml:space="preserve">This </w:t>
      </w:r>
      <w:r w:rsidR="00EA211D">
        <w:rPr>
          <w:color w:val="002664"/>
        </w:rPr>
        <w:t>M</w:t>
      </w:r>
      <w:r w:rsidRPr="002B6A77">
        <w:rPr>
          <w:color w:val="002664"/>
        </w:rPr>
        <w:t xml:space="preserve">onitoring and </w:t>
      </w:r>
      <w:r w:rsidR="00EA211D">
        <w:rPr>
          <w:color w:val="002664"/>
        </w:rPr>
        <w:t>E</w:t>
      </w:r>
      <w:r w:rsidRPr="002B6A77">
        <w:rPr>
          <w:color w:val="002664"/>
        </w:rPr>
        <w:t xml:space="preserve">valuation </w:t>
      </w:r>
      <w:r w:rsidR="00EA211D">
        <w:rPr>
          <w:color w:val="002664"/>
        </w:rPr>
        <w:t>P</w:t>
      </w:r>
      <w:r w:rsidRPr="002B6A77">
        <w:rPr>
          <w:color w:val="002664"/>
        </w:rPr>
        <w:t xml:space="preserve">lan has been developed to support the implementation of Council’s </w:t>
      </w:r>
      <w:r w:rsidR="00944406">
        <w:rPr>
          <w:color w:val="002664"/>
        </w:rPr>
        <w:t>C</w:t>
      </w:r>
      <w:r w:rsidRPr="002B6A77">
        <w:rPr>
          <w:color w:val="002664"/>
        </w:rPr>
        <w:t xml:space="preserve">limate </w:t>
      </w:r>
      <w:r w:rsidR="00944406">
        <w:rPr>
          <w:color w:val="002664"/>
        </w:rPr>
        <w:t>R</w:t>
      </w:r>
      <w:r w:rsidRPr="002B6A77">
        <w:rPr>
          <w:color w:val="002664"/>
        </w:rPr>
        <w:t xml:space="preserve">isk </w:t>
      </w:r>
      <w:r w:rsidR="00944406">
        <w:rPr>
          <w:color w:val="002664"/>
        </w:rPr>
        <w:t>A</w:t>
      </w:r>
      <w:r w:rsidRPr="002B6A77">
        <w:rPr>
          <w:color w:val="002664"/>
        </w:rPr>
        <w:t xml:space="preserve">ssessment and </w:t>
      </w:r>
      <w:r w:rsidR="00944406">
        <w:rPr>
          <w:color w:val="002664"/>
        </w:rPr>
        <w:t>A</w:t>
      </w:r>
      <w:r w:rsidRPr="002B6A77">
        <w:rPr>
          <w:color w:val="002664"/>
        </w:rPr>
        <w:t xml:space="preserve">daptation </w:t>
      </w:r>
      <w:r w:rsidR="00944406">
        <w:rPr>
          <w:color w:val="002664"/>
        </w:rPr>
        <w:t>P</w:t>
      </w:r>
      <w:r w:rsidRPr="002B6A77">
        <w:rPr>
          <w:color w:val="002664"/>
        </w:rPr>
        <w:t xml:space="preserve">lan. Specific metrics have been identified </w:t>
      </w:r>
      <w:r w:rsidR="00944406">
        <w:rPr>
          <w:color w:val="002664"/>
        </w:rPr>
        <w:t>for</w:t>
      </w:r>
      <w:r w:rsidR="00944406" w:rsidRPr="002B6A77">
        <w:rPr>
          <w:color w:val="002664"/>
        </w:rPr>
        <w:t xml:space="preserve"> </w:t>
      </w:r>
      <w:r w:rsidRPr="002B6A77">
        <w:rPr>
          <w:color w:val="002664"/>
        </w:rPr>
        <w:t>monitor</w:t>
      </w:r>
      <w:r w:rsidR="00944406">
        <w:rPr>
          <w:color w:val="002664"/>
        </w:rPr>
        <w:t>ing</w:t>
      </w:r>
      <w:r w:rsidRPr="002B6A77">
        <w:rPr>
          <w:color w:val="002664"/>
        </w:rPr>
        <w:t xml:space="preserve"> implementation. Progress against these metrics will be reviewed on an annual basis </w:t>
      </w:r>
      <w:r w:rsidRPr="002B6A77">
        <w:rPr>
          <w:color w:val="002664"/>
          <w:highlight w:val="yellow"/>
        </w:rPr>
        <w:t>(time period).</w:t>
      </w:r>
      <w:r w:rsidRPr="002B6A77">
        <w:rPr>
          <w:color w:val="002664"/>
        </w:rPr>
        <w:t xml:space="preserve"> Council’s </w:t>
      </w:r>
      <w:r w:rsidR="00944406">
        <w:rPr>
          <w:color w:val="002664"/>
        </w:rPr>
        <w:t>C</w:t>
      </w:r>
      <w:r w:rsidRPr="002B6A77">
        <w:rPr>
          <w:color w:val="002664"/>
        </w:rPr>
        <w:t xml:space="preserve">limate </w:t>
      </w:r>
      <w:r w:rsidR="00944406">
        <w:rPr>
          <w:color w:val="002664"/>
        </w:rPr>
        <w:t>R</w:t>
      </w:r>
      <w:r w:rsidRPr="002B6A77">
        <w:rPr>
          <w:color w:val="002664"/>
        </w:rPr>
        <w:t xml:space="preserve">isk </w:t>
      </w:r>
      <w:r w:rsidR="00944406">
        <w:rPr>
          <w:color w:val="002664"/>
        </w:rPr>
        <w:t>A</w:t>
      </w:r>
      <w:r w:rsidRPr="002B6A77">
        <w:rPr>
          <w:color w:val="002664"/>
        </w:rPr>
        <w:t xml:space="preserve">ssessment and </w:t>
      </w:r>
      <w:r w:rsidR="00944406">
        <w:rPr>
          <w:color w:val="002664"/>
        </w:rPr>
        <w:t>A</w:t>
      </w:r>
      <w:r w:rsidRPr="002B6A77">
        <w:rPr>
          <w:color w:val="002664"/>
        </w:rPr>
        <w:t xml:space="preserve">daptation </w:t>
      </w:r>
      <w:r w:rsidR="00944406">
        <w:rPr>
          <w:color w:val="002664"/>
        </w:rPr>
        <w:t>P</w:t>
      </w:r>
      <w:r w:rsidRPr="002B6A77">
        <w:rPr>
          <w:color w:val="002664"/>
        </w:rPr>
        <w:t xml:space="preserve">lan will be revised every </w:t>
      </w:r>
      <w:r w:rsidRPr="002B6A77">
        <w:rPr>
          <w:color w:val="002664"/>
          <w:highlight w:val="yellow"/>
        </w:rPr>
        <w:t>5</w:t>
      </w:r>
      <w:r w:rsidR="00EA211D">
        <w:rPr>
          <w:color w:val="002664"/>
          <w:highlight w:val="yellow"/>
        </w:rPr>
        <w:t> </w:t>
      </w:r>
      <w:r w:rsidRPr="002B6A77">
        <w:rPr>
          <w:color w:val="002664"/>
          <w:highlight w:val="yellow"/>
        </w:rPr>
        <w:t>years (lifecycle</w:t>
      </w:r>
      <w:r w:rsidRPr="002B6A77">
        <w:rPr>
          <w:color w:val="002664"/>
        </w:rPr>
        <w:t xml:space="preserve">). </w:t>
      </w:r>
      <w:r w:rsidR="00944406">
        <w:rPr>
          <w:color w:val="002664"/>
        </w:rPr>
        <w:t>T</w:t>
      </w:r>
      <w:r w:rsidRPr="002B6A77">
        <w:rPr>
          <w:color w:val="002664"/>
        </w:rPr>
        <w:t>he [Climate Change Officer</w:t>
      </w:r>
      <w:r w:rsidR="008033F5" w:rsidRPr="002B6A77">
        <w:rPr>
          <w:color w:val="002664"/>
        </w:rPr>
        <w:t>/</w:t>
      </w:r>
      <w:r w:rsidRPr="002B6A77">
        <w:rPr>
          <w:color w:val="002664"/>
        </w:rPr>
        <w:t>Sustainability Manager</w:t>
      </w:r>
      <w:r w:rsidR="008033F5" w:rsidRPr="002B6A77">
        <w:rPr>
          <w:color w:val="002664"/>
        </w:rPr>
        <w:t>/</w:t>
      </w:r>
      <w:r w:rsidRPr="002B6A77">
        <w:rPr>
          <w:color w:val="002664"/>
        </w:rPr>
        <w:t>Corporate Risk Manager</w:t>
      </w:r>
      <w:r w:rsidR="008033F5" w:rsidRPr="002B6A77">
        <w:rPr>
          <w:color w:val="002664"/>
        </w:rPr>
        <w:t>/</w:t>
      </w:r>
      <w:r w:rsidRPr="002B6A77">
        <w:rPr>
          <w:color w:val="002664"/>
        </w:rPr>
        <w:t>other]</w:t>
      </w:r>
      <w:r w:rsidR="00944406">
        <w:rPr>
          <w:color w:val="002664"/>
        </w:rPr>
        <w:t xml:space="preserve"> is</w:t>
      </w:r>
      <w:r w:rsidRPr="002B6A77">
        <w:rPr>
          <w:color w:val="002664"/>
        </w:rPr>
        <w:t xml:space="preserve"> responsib</w:t>
      </w:r>
      <w:r w:rsidR="00944406">
        <w:rPr>
          <w:color w:val="002664"/>
        </w:rPr>
        <w:t xml:space="preserve">le for </w:t>
      </w:r>
      <w:r w:rsidRPr="002B6A77">
        <w:rPr>
          <w:color w:val="002664"/>
        </w:rPr>
        <w:t>lead</w:t>
      </w:r>
      <w:r w:rsidR="00944406">
        <w:rPr>
          <w:color w:val="002664"/>
        </w:rPr>
        <w:t>ing</w:t>
      </w:r>
      <w:r w:rsidRPr="002B6A77">
        <w:rPr>
          <w:color w:val="002664"/>
        </w:rPr>
        <w:t xml:space="preserve"> monitoring and evaluation</w:t>
      </w:r>
      <w:r w:rsidR="00944406">
        <w:rPr>
          <w:color w:val="002664"/>
        </w:rPr>
        <w:t>,</w:t>
      </w:r>
      <w:r w:rsidRPr="002B6A77">
        <w:rPr>
          <w:color w:val="002664"/>
        </w:rPr>
        <w:t xml:space="preserve"> and report</w:t>
      </w:r>
      <w:r w:rsidR="00944406">
        <w:rPr>
          <w:color w:val="002664"/>
        </w:rPr>
        <w:t>ing</w:t>
      </w:r>
      <w:r w:rsidRPr="002B6A77">
        <w:rPr>
          <w:color w:val="002664"/>
        </w:rPr>
        <w:t xml:space="preserve"> progress annually.</w:t>
      </w:r>
    </w:p>
    <w:p w14:paraId="5F9F2044" w14:textId="463BE9F6" w:rsidR="005538F4" w:rsidRPr="005F2A0F" w:rsidRDefault="008033F5" w:rsidP="00357FE4">
      <w:pPr>
        <w:pStyle w:val="Heading314pt"/>
      </w:pPr>
      <w:r>
        <w:t>Outcomes</w:t>
      </w:r>
    </w:p>
    <w:p w14:paraId="76A5C36A" w14:textId="7A28E43C" w:rsidR="005538F4" w:rsidRPr="002B6A77" w:rsidRDefault="005538F4" w:rsidP="001B5A8A">
      <w:pPr>
        <w:pStyle w:val="BulletLead11pt"/>
        <w:rPr>
          <w:color w:val="002664"/>
        </w:rPr>
      </w:pPr>
      <w:r w:rsidRPr="002B6A77">
        <w:rPr>
          <w:color w:val="002664"/>
        </w:rPr>
        <w:t xml:space="preserve">Council’s desired outcomes from implementation of the </w:t>
      </w:r>
      <w:r w:rsidR="00944406">
        <w:rPr>
          <w:color w:val="002664"/>
        </w:rPr>
        <w:t>C</w:t>
      </w:r>
      <w:r w:rsidRPr="002B6A77">
        <w:rPr>
          <w:color w:val="002664"/>
        </w:rPr>
        <w:t xml:space="preserve">limate </w:t>
      </w:r>
      <w:r w:rsidR="00944406">
        <w:rPr>
          <w:color w:val="002664"/>
        </w:rPr>
        <w:t>R</w:t>
      </w:r>
      <w:r w:rsidRPr="002B6A77">
        <w:rPr>
          <w:color w:val="002664"/>
        </w:rPr>
        <w:t xml:space="preserve">isk </w:t>
      </w:r>
      <w:r w:rsidR="00944406">
        <w:rPr>
          <w:color w:val="002664"/>
        </w:rPr>
        <w:t>A</w:t>
      </w:r>
      <w:r w:rsidRPr="002B6A77">
        <w:rPr>
          <w:color w:val="002664"/>
        </w:rPr>
        <w:t>ssessme</w:t>
      </w:r>
      <w:r w:rsidR="008033F5" w:rsidRPr="002B6A77">
        <w:rPr>
          <w:color w:val="002664"/>
        </w:rPr>
        <w:t xml:space="preserve">nt and </w:t>
      </w:r>
      <w:r w:rsidR="00944406">
        <w:rPr>
          <w:color w:val="002664"/>
        </w:rPr>
        <w:t>A</w:t>
      </w:r>
      <w:r w:rsidR="008033F5" w:rsidRPr="002B6A77">
        <w:rPr>
          <w:color w:val="002664"/>
        </w:rPr>
        <w:t xml:space="preserve">daptation </w:t>
      </w:r>
      <w:r w:rsidR="00944406">
        <w:rPr>
          <w:color w:val="002664"/>
        </w:rPr>
        <w:t>P</w:t>
      </w:r>
      <w:r w:rsidR="008033F5" w:rsidRPr="002B6A77">
        <w:rPr>
          <w:color w:val="002664"/>
        </w:rPr>
        <w:t>lan include</w:t>
      </w:r>
      <w:r w:rsidR="00944406">
        <w:rPr>
          <w:color w:val="002664"/>
        </w:rPr>
        <w:t xml:space="preserve"> the following</w:t>
      </w:r>
      <w:r w:rsidR="008033F5" w:rsidRPr="002B6A77">
        <w:rPr>
          <w:color w:val="002664"/>
        </w:rPr>
        <w:t>:</w:t>
      </w:r>
    </w:p>
    <w:p w14:paraId="5046BD3B" w14:textId="46FCE4B0" w:rsidR="005538F4" w:rsidRPr="002B6A77" w:rsidRDefault="00944406" w:rsidP="001B5A8A">
      <w:pPr>
        <w:pStyle w:val="Bullet1"/>
        <w:rPr>
          <w:color w:val="002664"/>
        </w:rPr>
      </w:pPr>
      <w:r>
        <w:rPr>
          <w:color w:val="002664"/>
        </w:rPr>
        <w:t>The c</w:t>
      </w:r>
      <w:r w:rsidR="005538F4" w:rsidRPr="002B6A77">
        <w:rPr>
          <w:color w:val="002664"/>
        </w:rPr>
        <w:t>limate risk assessment team has been identified</w:t>
      </w:r>
      <w:r>
        <w:rPr>
          <w:color w:val="002664"/>
        </w:rPr>
        <w:t>; the</w:t>
      </w:r>
      <w:r w:rsidR="005538F4" w:rsidRPr="002B6A77">
        <w:rPr>
          <w:color w:val="002664"/>
        </w:rPr>
        <w:t xml:space="preserve"> scope </w:t>
      </w:r>
      <w:r w:rsidR="00B90820">
        <w:rPr>
          <w:color w:val="002664"/>
        </w:rPr>
        <w:t xml:space="preserve">has been agreed </w:t>
      </w:r>
      <w:r w:rsidR="005538F4" w:rsidRPr="002B6A77">
        <w:rPr>
          <w:color w:val="002664"/>
        </w:rPr>
        <w:t xml:space="preserve">for initial climate risk assessment for </w:t>
      </w:r>
      <w:r w:rsidR="00B90820">
        <w:rPr>
          <w:color w:val="002664"/>
        </w:rPr>
        <w:t>C</w:t>
      </w:r>
      <w:r w:rsidR="005538F4" w:rsidRPr="002B6A77">
        <w:rPr>
          <w:color w:val="002664"/>
        </w:rPr>
        <w:t>ouncil operations, assets and services</w:t>
      </w:r>
      <w:r w:rsidR="00B90820">
        <w:rPr>
          <w:color w:val="002664"/>
        </w:rPr>
        <w:t xml:space="preserve">; </w:t>
      </w:r>
      <w:r w:rsidR="005538F4" w:rsidRPr="002B6A77">
        <w:rPr>
          <w:color w:val="002664"/>
        </w:rPr>
        <w:t xml:space="preserve">and </w:t>
      </w:r>
      <w:r w:rsidR="00B90820">
        <w:rPr>
          <w:color w:val="002664"/>
        </w:rPr>
        <w:t xml:space="preserve">the </w:t>
      </w:r>
      <w:r w:rsidR="005538F4" w:rsidRPr="002B6A77">
        <w:rPr>
          <w:color w:val="002664"/>
        </w:rPr>
        <w:t>c</w:t>
      </w:r>
      <w:r w:rsidR="0081610A" w:rsidRPr="002B6A77">
        <w:rPr>
          <w:color w:val="002664"/>
        </w:rPr>
        <w:t>limate risk assessment</w:t>
      </w:r>
      <w:r w:rsidR="00B90820">
        <w:rPr>
          <w:color w:val="002664"/>
        </w:rPr>
        <w:t xml:space="preserve"> is</w:t>
      </w:r>
      <w:r w:rsidR="0081610A" w:rsidRPr="002B6A77">
        <w:rPr>
          <w:color w:val="002664"/>
        </w:rPr>
        <w:t xml:space="preserve"> complete</w:t>
      </w:r>
      <w:r w:rsidR="00B90820">
        <w:rPr>
          <w:color w:val="002664"/>
        </w:rPr>
        <w:t>.</w:t>
      </w:r>
    </w:p>
    <w:p w14:paraId="75CB5305" w14:textId="77777777" w:rsidR="00B90820" w:rsidRDefault="005538F4" w:rsidP="001B5A8A">
      <w:pPr>
        <w:pStyle w:val="Bullet1"/>
        <w:rPr>
          <w:color w:val="002664"/>
        </w:rPr>
      </w:pPr>
      <w:r w:rsidRPr="002B6A77">
        <w:rPr>
          <w:color w:val="002664"/>
        </w:rPr>
        <w:t xml:space="preserve">A climate risk register </w:t>
      </w:r>
      <w:r w:rsidR="00B90820">
        <w:rPr>
          <w:color w:val="002664"/>
        </w:rPr>
        <w:t xml:space="preserve">has been </w:t>
      </w:r>
      <w:r w:rsidRPr="002B6A77">
        <w:rPr>
          <w:color w:val="002664"/>
        </w:rPr>
        <w:t>established for a specific major project, with risk owners identified</w:t>
      </w:r>
      <w:r w:rsidR="00B90820">
        <w:rPr>
          <w:color w:val="002664"/>
        </w:rPr>
        <w:t>.</w:t>
      </w:r>
    </w:p>
    <w:p w14:paraId="44D666DC" w14:textId="6EDE17E4" w:rsidR="005538F4" w:rsidRPr="002B6A77" w:rsidRDefault="005538F4" w:rsidP="001B5A8A">
      <w:pPr>
        <w:pStyle w:val="Bullet1"/>
        <w:rPr>
          <w:color w:val="002664"/>
        </w:rPr>
      </w:pPr>
      <w:r w:rsidRPr="002B6A77">
        <w:rPr>
          <w:color w:val="002664"/>
        </w:rPr>
        <w:t>Existing risk assessment tools</w:t>
      </w:r>
      <w:r w:rsidR="00B90820">
        <w:rPr>
          <w:color w:val="002664"/>
        </w:rPr>
        <w:t xml:space="preserve"> have been</w:t>
      </w:r>
      <w:r w:rsidRPr="002B6A77">
        <w:rPr>
          <w:color w:val="002664"/>
        </w:rPr>
        <w:t xml:space="preserve"> updated to better capture an</w:t>
      </w:r>
      <w:r w:rsidR="0081610A" w:rsidRPr="002B6A77">
        <w:rPr>
          <w:color w:val="002664"/>
        </w:rPr>
        <w:t>d assess physical climate risks</w:t>
      </w:r>
      <w:r w:rsidR="00B90820">
        <w:rPr>
          <w:color w:val="002664"/>
        </w:rPr>
        <w:t>.</w:t>
      </w:r>
    </w:p>
    <w:p w14:paraId="62B001DF" w14:textId="1E9FCFD7" w:rsidR="006C7845" w:rsidRPr="002B6A77" w:rsidRDefault="005538F4" w:rsidP="001B5A8A">
      <w:pPr>
        <w:pStyle w:val="Bullet1"/>
        <w:rPr>
          <w:color w:val="002664"/>
        </w:rPr>
        <w:sectPr w:rsidR="006C7845" w:rsidRPr="002B6A77" w:rsidSect="005F20A0">
          <w:headerReference w:type="default" r:id="rId13"/>
          <w:footerReference w:type="default" r:id="rId14"/>
          <w:endnotePr>
            <w:numFmt w:val="decimal"/>
          </w:endnotePr>
          <w:pgSz w:w="11906" w:h="16838" w:code="9"/>
          <w:pgMar w:top="1954" w:right="1134" w:bottom="1134" w:left="1134" w:header="573" w:footer="534" w:gutter="0"/>
          <w:cols w:space="720"/>
          <w:noEndnote/>
          <w:docGrid w:linePitch="299"/>
        </w:sectPr>
      </w:pPr>
      <w:r w:rsidRPr="002B6A77">
        <w:rPr>
          <w:color w:val="002664"/>
        </w:rPr>
        <w:t>Adaptation actions have been identified</w:t>
      </w:r>
      <w:r w:rsidR="0081610A" w:rsidRPr="002B6A77">
        <w:rPr>
          <w:color w:val="002664"/>
        </w:rPr>
        <w:t xml:space="preserve"> and implemented </w:t>
      </w:r>
      <w:r w:rsidR="00B90820">
        <w:rPr>
          <w:color w:val="002664"/>
        </w:rPr>
        <w:t>(</w:t>
      </w:r>
      <w:r w:rsidR="0081610A" w:rsidRPr="002B6A77">
        <w:rPr>
          <w:color w:val="002664"/>
        </w:rPr>
        <w:t>where low cost</w:t>
      </w:r>
      <w:r w:rsidR="00B90820">
        <w:rPr>
          <w:color w:val="002664"/>
        </w:rPr>
        <w:t>).</w:t>
      </w:r>
    </w:p>
    <w:p w14:paraId="39369978" w14:textId="7E1ABC20" w:rsidR="005538F4" w:rsidRPr="005F2A0F" w:rsidRDefault="005538F4" w:rsidP="00357FE4">
      <w:pPr>
        <w:pStyle w:val="Heading314pt"/>
      </w:pPr>
      <w:r w:rsidRPr="005F2A0F">
        <w:lastRenderedPageBreak/>
        <w:t>Metrics and targets</w:t>
      </w:r>
    </w:p>
    <w:tbl>
      <w:tblPr>
        <w:tblStyle w:val="NSW-DPIEExplanatoryText"/>
        <w:tblW w:w="9639" w:type="dxa"/>
        <w:tblLook w:val="04A0" w:firstRow="1" w:lastRow="0" w:firstColumn="1" w:lastColumn="0" w:noHBand="0" w:noVBand="1"/>
      </w:tblPr>
      <w:tblGrid>
        <w:gridCol w:w="9639"/>
      </w:tblGrid>
      <w:tr w:rsidR="005538F4" w:rsidRPr="005F2A0F" w14:paraId="27F4F492" w14:textId="77777777" w:rsidTr="00B5786C">
        <w:trPr>
          <w:trHeight w:val="101"/>
        </w:trPr>
        <w:tc>
          <w:tcPr>
            <w:tcW w:w="9639" w:type="dxa"/>
          </w:tcPr>
          <w:p w14:paraId="66F661B5" w14:textId="678D23BB" w:rsidR="005538F4" w:rsidRPr="005F2A0F" w:rsidRDefault="005538F4" w:rsidP="001B5A8A">
            <w:pPr>
              <w:pStyle w:val="Body0"/>
            </w:pPr>
            <w:r w:rsidRPr="005F2A0F">
              <w:t xml:space="preserve">The </w:t>
            </w:r>
            <w:r w:rsidR="00B90820">
              <w:t>table</w:t>
            </w:r>
            <w:r w:rsidR="00B90820" w:rsidRPr="005F2A0F">
              <w:t xml:space="preserve"> </w:t>
            </w:r>
            <w:r w:rsidRPr="005F2A0F">
              <w:t>below provides examples of proposed metrics and targets ali</w:t>
            </w:r>
            <w:r w:rsidR="008033F5">
              <w:t xml:space="preserve">gned to a </w:t>
            </w:r>
            <w:r w:rsidR="00B90820">
              <w:t>b</w:t>
            </w:r>
            <w:r w:rsidR="008033F5">
              <w:t xml:space="preserve">asic </w:t>
            </w:r>
            <w:r w:rsidR="00B90820">
              <w:t xml:space="preserve">climate risk </w:t>
            </w:r>
            <w:r w:rsidR="008033F5">
              <w:t>maturity level.</w:t>
            </w:r>
          </w:p>
          <w:p w14:paraId="0563233D" w14:textId="5063AC15" w:rsidR="005538F4" w:rsidRPr="005F2A0F" w:rsidRDefault="005538F4" w:rsidP="001B5A8A">
            <w:pPr>
              <w:pStyle w:val="Body0"/>
            </w:pPr>
            <w:r w:rsidRPr="005F2A0F">
              <w:t xml:space="preserve">When the </w:t>
            </w:r>
            <w:r w:rsidR="00B90820">
              <w:t>M</w:t>
            </w:r>
            <w:r w:rsidRPr="005F2A0F">
              <w:t xml:space="preserve">onitoring and </w:t>
            </w:r>
            <w:r w:rsidR="00B90820">
              <w:t>E</w:t>
            </w:r>
            <w:r w:rsidRPr="005F2A0F">
              <w:t xml:space="preserve">valuation </w:t>
            </w:r>
            <w:r w:rsidR="00B90820">
              <w:t>P</w:t>
            </w:r>
            <w:r w:rsidRPr="005F2A0F">
              <w:t>lan is developed, Council should document the current baseline against each metric/</w:t>
            </w:r>
            <w:r w:rsidR="00EB6891" w:rsidRPr="005F2A0F">
              <w:t>target</w:t>
            </w:r>
            <w:r w:rsidR="00EB6891">
              <w:t xml:space="preserve"> and</w:t>
            </w:r>
            <w:r w:rsidRPr="005F2A0F">
              <w:t xml:space="preserve"> identify the team member</w:t>
            </w:r>
            <w:r w:rsidR="00921DC2">
              <w:t>s</w:t>
            </w:r>
            <w:r w:rsidRPr="005F2A0F">
              <w:t xml:space="preserve"> responsible for reporting on progress</w:t>
            </w:r>
            <w:r w:rsidR="00921DC2">
              <w:t xml:space="preserve"> and </w:t>
            </w:r>
            <w:r w:rsidRPr="005F2A0F">
              <w:t>for implementation. On an annual basis (at least)</w:t>
            </w:r>
            <w:r w:rsidR="00921DC2">
              <w:t>, the</w:t>
            </w:r>
            <w:r w:rsidRPr="005F2A0F">
              <w:t xml:space="preserve"> status of progress against the metric/target should be updated and evidence provided. This template can also be used to support ongoing monitoring and progress reports. Council may wish to use a simple traffic lig</w:t>
            </w:r>
            <w:r w:rsidR="008033F5">
              <w:t>ht system to indicate progress.</w:t>
            </w:r>
          </w:p>
          <w:p w14:paraId="36B7AB64" w14:textId="38FB899E" w:rsidR="005538F4" w:rsidRPr="005F2A0F" w:rsidRDefault="00921DC2" w:rsidP="001B5A8A">
            <w:pPr>
              <w:pStyle w:val="Body0"/>
            </w:pPr>
            <w:r>
              <w:t>E</w:t>
            </w:r>
            <w:r w:rsidR="005538F4" w:rsidRPr="005F2A0F">
              <w:t>vidence</w:t>
            </w:r>
            <w:r>
              <w:t xml:space="preserve"> </w:t>
            </w:r>
            <w:r w:rsidR="005538F4" w:rsidRPr="005F2A0F">
              <w:t xml:space="preserve">may be a brief summary of </w:t>
            </w:r>
            <w:r w:rsidR="00EB6891" w:rsidRPr="005F2A0F">
              <w:t>progress or</w:t>
            </w:r>
            <w:r w:rsidR="005538F4" w:rsidRPr="005F2A0F">
              <w:t xml:space="preserve"> could cross</w:t>
            </w:r>
            <w:r>
              <w:t>-</w:t>
            </w:r>
            <w:r w:rsidR="005538F4" w:rsidRPr="005F2A0F">
              <w:t>reference other documents or refer to an appendix with further detail. Council may wish to provide an extract from the risk register comprising priority risks, adaptation measures and further information on progress</w:t>
            </w:r>
            <w:r>
              <w:t xml:space="preserve"> with</w:t>
            </w:r>
            <w:r w:rsidR="005538F4" w:rsidRPr="005F2A0F">
              <w:t xml:space="preserve"> implementation of each measure.</w:t>
            </w:r>
          </w:p>
          <w:p w14:paraId="3890D981" w14:textId="7BAF3D75" w:rsidR="005538F4" w:rsidRPr="005F2A0F" w:rsidRDefault="005538F4" w:rsidP="001B5A8A">
            <w:pPr>
              <w:pStyle w:val="BodyBlueBox-nospaceafter"/>
            </w:pPr>
            <w:r w:rsidRPr="00B62A41">
              <w:t xml:space="preserve">This template can be adopted and developed as needed for any </w:t>
            </w:r>
            <w:r w:rsidR="00921DC2">
              <w:t xml:space="preserve">climate risk </w:t>
            </w:r>
            <w:r w:rsidRPr="00B62A41">
              <w:t>maturity level</w:t>
            </w:r>
            <w:r w:rsidRPr="005F2A0F">
              <w:t>.</w:t>
            </w:r>
          </w:p>
        </w:tc>
      </w:tr>
    </w:tbl>
    <w:p w14:paraId="492D6693" w14:textId="13B12D02" w:rsidR="00EC0216" w:rsidRDefault="005538F4" w:rsidP="00EC0216">
      <w:pPr>
        <w:pStyle w:val="TableHeading"/>
      </w:pPr>
      <w:r w:rsidRPr="005F2A0F">
        <w:t xml:space="preserve">Key </w:t>
      </w:r>
    </w:p>
    <w:tbl>
      <w:tblPr>
        <w:tblStyle w:val="TableGrid"/>
        <w:tblW w:w="4930" w:type="pct"/>
        <w:tblLook w:val="04A0" w:firstRow="1" w:lastRow="0" w:firstColumn="1" w:lastColumn="0" w:noHBand="0" w:noVBand="1"/>
      </w:tblPr>
      <w:tblGrid>
        <w:gridCol w:w="2149"/>
        <w:gridCol w:w="1539"/>
        <w:gridCol w:w="2445"/>
        <w:gridCol w:w="222"/>
        <w:gridCol w:w="1336"/>
        <w:gridCol w:w="1802"/>
      </w:tblGrid>
      <w:tr w:rsidR="00EC0216" w:rsidRPr="005F2A0F" w14:paraId="099F9F79" w14:textId="77777777" w:rsidTr="00B62EDB">
        <w:trPr>
          <w:tblHeader/>
        </w:trPr>
        <w:tc>
          <w:tcPr>
            <w:tcW w:w="1157" w:type="pct"/>
            <w:vMerge w:val="restart"/>
            <w:tcBorders>
              <w:top w:val="single" w:sz="4" w:space="0" w:color="auto"/>
              <w:left w:val="single" w:sz="4" w:space="0" w:color="auto"/>
              <w:bottom w:val="nil"/>
              <w:right w:val="single" w:sz="4" w:space="0" w:color="FFFFFF" w:themeColor="background1"/>
            </w:tcBorders>
            <w:shd w:val="clear" w:color="auto" w:fill="002664"/>
          </w:tcPr>
          <w:p w14:paraId="6DC4FD1A" w14:textId="77777777" w:rsidR="00EC0216" w:rsidRPr="00B62A41" w:rsidRDefault="00EC0216" w:rsidP="007B25E1">
            <w:pPr>
              <w:pStyle w:val="Tablecellheader"/>
            </w:pPr>
            <w:r w:rsidRPr="00B62A41">
              <w:t>Metrics and targets</w:t>
            </w:r>
          </w:p>
        </w:tc>
        <w:tc>
          <w:tcPr>
            <w:tcW w:w="836"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664"/>
          </w:tcPr>
          <w:p w14:paraId="392EB745" w14:textId="77777777" w:rsidR="00EC0216" w:rsidRPr="00B62A41" w:rsidRDefault="00EC0216" w:rsidP="007B25E1">
            <w:pPr>
              <w:pStyle w:val="Tablecellheader"/>
            </w:pPr>
            <w:r w:rsidRPr="00B62A41">
              <w:t>Baseline</w:t>
            </w:r>
          </w:p>
        </w:tc>
        <w:tc>
          <w:tcPr>
            <w:tcW w:w="1162" w:type="pct"/>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002664"/>
          </w:tcPr>
          <w:p w14:paraId="5039B067" w14:textId="77777777" w:rsidR="00EC0216" w:rsidRPr="00B62A41" w:rsidRDefault="00EC0216" w:rsidP="007B25E1">
            <w:pPr>
              <w:pStyle w:val="Tablecellheader"/>
            </w:pPr>
            <w:r>
              <w:t>Responsibility</w:t>
            </w:r>
          </w:p>
        </w:tc>
        <w:tc>
          <w:tcPr>
            <w:tcW w:w="1845" w:type="pct"/>
            <w:gridSpan w:val="3"/>
            <w:tcBorders>
              <w:left w:val="single" w:sz="4" w:space="0" w:color="FFFFFF" w:themeColor="background1"/>
              <w:bottom w:val="single" w:sz="4" w:space="0" w:color="FFFFFF" w:themeColor="background1"/>
            </w:tcBorders>
            <w:shd w:val="clear" w:color="auto" w:fill="002664"/>
          </w:tcPr>
          <w:p w14:paraId="50312D31" w14:textId="77777777" w:rsidR="00EC0216" w:rsidRPr="00B62A41" w:rsidRDefault="00EC0216" w:rsidP="007B25E1">
            <w:pPr>
              <w:pStyle w:val="Tablecellheader"/>
              <w:jc w:val="center"/>
            </w:pPr>
            <w:r w:rsidRPr="00B62A41">
              <w:t>Year 1</w:t>
            </w:r>
          </w:p>
        </w:tc>
      </w:tr>
      <w:tr w:rsidR="00EC0216" w:rsidRPr="005F2A0F" w14:paraId="1CC97D34" w14:textId="77777777" w:rsidTr="00B62EDB">
        <w:trPr>
          <w:tblHeader/>
        </w:trPr>
        <w:tc>
          <w:tcPr>
            <w:tcW w:w="1157" w:type="pct"/>
            <w:vMerge/>
            <w:tcBorders>
              <w:top w:val="single" w:sz="4" w:space="0" w:color="FFFFFF" w:themeColor="background1"/>
              <w:left w:val="single" w:sz="4" w:space="0" w:color="auto"/>
              <w:bottom w:val="nil"/>
              <w:right w:val="single" w:sz="4" w:space="0" w:color="FFFFFF" w:themeColor="background1"/>
            </w:tcBorders>
            <w:shd w:val="clear" w:color="auto" w:fill="002664"/>
          </w:tcPr>
          <w:p w14:paraId="4BB5A34C" w14:textId="77777777" w:rsidR="00EC0216" w:rsidRPr="00B62A41" w:rsidRDefault="00EC0216" w:rsidP="007B25E1">
            <w:pPr>
              <w:pStyle w:val="Tablecellheader"/>
            </w:pPr>
          </w:p>
        </w:tc>
        <w:tc>
          <w:tcPr>
            <w:tcW w:w="836"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002664"/>
          </w:tcPr>
          <w:p w14:paraId="1246793F" w14:textId="77777777" w:rsidR="00EC0216" w:rsidRPr="00B62A41" w:rsidRDefault="00EC0216" w:rsidP="007B25E1">
            <w:pPr>
              <w:pStyle w:val="Tablecellheader"/>
            </w:pPr>
          </w:p>
        </w:tc>
        <w:tc>
          <w:tcPr>
            <w:tcW w:w="1162"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002664"/>
          </w:tcPr>
          <w:p w14:paraId="34A6292C" w14:textId="77777777" w:rsidR="00EC0216" w:rsidRPr="00B62A41" w:rsidRDefault="00EC0216" w:rsidP="007B25E1">
            <w:pPr>
              <w:pStyle w:val="Tablecellheader"/>
            </w:pPr>
          </w:p>
        </w:tc>
        <w:tc>
          <w:tcPr>
            <w:tcW w:w="871" w:type="pct"/>
            <w:gridSpan w:val="2"/>
            <w:tcBorders>
              <w:top w:val="single" w:sz="4" w:space="0" w:color="FFFFFF" w:themeColor="background1"/>
              <w:left w:val="single" w:sz="4" w:space="0" w:color="FFFFFF" w:themeColor="background1"/>
              <w:right w:val="single" w:sz="4" w:space="0" w:color="FFFFFF" w:themeColor="background1"/>
            </w:tcBorders>
            <w:shd w:val="clear" w:color="auto" w:fill="002664"/>
          </w:tcPr>
          <w:p w14:paraId="65865B2B" w14:textId="77777777" w:rsidR="00EC0216" w:rsidRPr="00B62A41" w:rsidRDefault="00EC0216" w:rsidP="007B25E1">
            <w:pPr>
              <w:pStyle w:val="Tablecellheader"/>
            </w:pPr>
            <w:r w:rsidRPr="00B62A41">
              <w:t>Status</w:t>
            </w:r>
          </w:p>
        </w:tc>
        <w:tc>
          <w:tcPr>
            <w:tcW w:w="974" w:type="pct"/>
            <w:tcBorders>
              <w:top w:val="single" w:sz="4" w:space="0" w:color="FFFFFF" w:themeColor="background1"/>
              <w:left w:val="single" w:sz="4" w:space="0" w:color="FFFFFF" w:themeColor="background1"/>
            </w:tcBorders>
            <w:shd w:val="clear" w:color="auto" w:fill="002664"/>
          </w:tcPr>
          <w:p w14:paraId="6E6466D2" w14:textId="77777777" w:rsidR="00EC0216" w:rsidRPr="007B25E1" w:rsidRDefault="00EC0216" w:rsidP="007B25E1">
            <w:pPr>
              <w:pStyle w:val="Tablecellheader"/>
            </w:pPr>
            <w:r w:rsidRPr="007B25E1">
              <w:t>Evidence</w:t>
            </w:r>
          </w:p>
        </w:tc>
      </w:tr>
      <w:tr w:rsidR="00B62EDB" w:rsidRPr="005F2A0F" w14:paraId="2B862DE1" w14:textId="77777777" w:rsidTr="00B62EDB">
        <w:trPr>
          <w:trHeight w:val="412"/>
        </w:trPr>
        <w:tc>
          <w:tcPr>
            <w:tcW w:w="1157" w:type="pct"/>
            <w:vMerge w:val="restart"/>
            <w:tcBorders>
              <w:top w:val="nil"/>
              <w:bottom w:val="single" w:sz="4" w:space="0" w:color="000000" w:themeColor="text1"/>
            </w:tcBorders>
          </w:tcPr>
          <w:p w14:paraId="78D4F18E" w14:textId="24DB4AD1" w:rsidR="00EC0216" w:rsidRPr="005F2A0F" w:rsidRDefault="00EC0216" w:rsidP="001B5A8A">
            <w:pPr>
              <w:pStyle w:val="Tablebody0"/>
            </w:pPr>
            <w:r w:rsidRPr="005F2A0F">
              <w:t>Suggested metric</w:t>
            </w:r>
            <w:r w:rsidR="00B62EDB">
              <w:t xml:space="preserve"> or </w:t>
            </w:r>
            <w:r w:rsidRPr="005F2A0F">
              <w:t>target</w:t>
            </w:r>
          </w:p>
        </w:tc>
        <w:tc>
          <w:tcPr>
            <w:tcW w:w="836" w:type="pct"/>
            <w:vMerge w:val="restart"/>
            <w:tcBorders>
              <w:top w:val="nil"/>
              <w:bottom w:val="single" w:sz="4" w:space="0" w:color="000000" w:themeColor="text1"/>
            </w:tcBorders>
          </w:tcPr>
          <w:p w14:paraId="1C43C13C" w14:textId="5494D006" w:rsidR="00EC0216" w:rsidRPr="005F2A0F" w:rsidRDefault="00EC0216" w:rsidP="001B5A8A">
            <w:pPr>
              <w:pStyle w:val="Tablebody0"/>
            </w:pPr>
            <w:r w:rsidRPr="005F2A0F">
              <w:t>Example of a current status</w:t>
            </w:r>
          </w:p>
        </w:tc>
        <w:tc>
          <w:tcPr>
            <w:tcW w:w="1162" w:type="pct"/>
            <w:vMerge w:val="restart"/>
            <w:tcBorders>
              <w:top w:val="nil"/>
              <w:bottom w:val="single" w:sz="4" w:space="0" w:color="000000" w:themeColor="text1"/>
            </w:tcBorders>
            <w:shd w:val="clear" w:color="auto" w:fill="auto"/>
          </w:tcPr>
          <w:p w14:paraId="6E58DCF5" w14:textId="77777777" w:rsidR="00EC0216" w:rsidRPr="005F2A0F" w:rsidRDefault="00EC0216" w:rsidP="001B5A8A">
            <w:pPr>
              <w:pStyle w:val="Tablebody0"/>
            </w:pPr>
            <w:r w:rsidRPr="005F2A0F">
              <w:t>Team member responsible for reporting progress</w:t>
            </w:r>
            <w:r>
              <w:t>/</w:t>
            </w:r>
            <w:r w:rsidRPr="005F2A0F">
              <w:t>implementation</w:t>
            </w:r>
          </w:p>
        </w:tc>
        <w:tc>
          <w:tcPr>
            <w:tcW w:w="120" w:type="pct"/>
            <w:shd w:val="clear" w:color="auto" w:fill="A8EDB3"/>
          </w:tcPr>
          <w:p w14:paraId="62218BC0" w14:textId="77777777" w:rsidR="00EC0216" w:rsidRPr="005F2A0F" w:rsidRDefault="00EC0216" w:rsidP="001B5A8A">
            <w:pPr>
              <w:pStyle w:val="Tablebody0"/>
            </w:pPr>
          </w:p>
        </w:tc>
        <w:tc>
          <w:tcPr>
            <w:tcW w:w="751" w:type="pct"/>
            <w:shd w:val="clear" w:color="auto" w:fill="auto"/>
          </w:tcPr>
          <w:p w14:paraId="31351A74" w14:textId="773D5E40" w:rsidR="00EC0216" w:rsidRPr="005F2A0F" w:rsidRDefault="00EC0216" w:rsidP="00921DC2">
            <w:pPr>
              <w:pStyle w:val="Tablebody0"/>
            </w:pPr>
            <w:r w:rsidRPr="005F2A0F">
              <w:t>Complete</w:t>
            </w:r>
            <w:r w:rsidR="00921DC2">
              <w:t xml:space="preserve"> or o</w:t>
            </w:r>
            <w:r w:rsidRPr="005F2A0F">
              <w:t>n track</w:t>
            </w:r>
          </w:p>
        </w:tc>
        <w:tc>
          <w:tcPr>
            <w:tcW w:w="974" w:type="pct"/>
            <w:vMerge w:val="restart"/>
          </w:tcPr>
          <w:p w14:paraId="5D4497F3" w14:textId="77777777" w:rsidR="00EC0216" w:rsidRPr="005F2A0F" w:rsidRDefault="00EC0216" w:rsidP="001B5A8A">
            <w:pPr>
              <w:pStyle w:val="Tablebody0"/>
            </w:pPr>
            <w:r w:rsidRPr="005F2A0F">
              <w:t>Brief comment on evidenc</w:t>
            </w:r>
            <w:r>
              <w:t>e to support status assessment</w:t>
            </w:r>
          </w:p>
        </w:tc>
      </w:tr>
      <w:tr w:rsidR="00B62EDB" w:rsidRPr="005F2A0F" w14:paraId="6F9DEE96" w14:textId="77777777" w:rsidTr="00B62EDB">
        <w:trPr>
          <w:trHeight w:val="279"/>
        </w:trPr>
        <w:tc>
          <w:tcPr>
            <w:tcW w:w="1157" w:type="pct"/>
            <w:vMerge/>
            <w:tcBorders>
              <w:bottom w:val="single" w:sz="4" w:space="0" w:color="000000" w:themeColor="text1"/>
            </w:tcBorders>
          </w:tcPr>
          <w:p w14:paraId="559ADA18" w14:textId="77777777" w:rsidR="00EC0216" w:rsidRPr="005F2A0F" w:rsidRDefault="00EC0216" w:rsidP="008C0865"/>
        </w:tc>
        <w:tc>
          <w:tcPr>
            <w:tcW w:w="836" w:type="pct"/>
            <w:vMerge/>
            <w:tcBorders>
              <w:bottom w:val="single" w:sz="4" w:space="0" w:color="000000" w:themeColor="text1"/>
            </w:tcBorders>
          </w:tcPr>
          <w:p w14:paraId="30AD9DE4" w14:textId="77777777" w:rsidR="00EC0216" w:rsidRPr="005F2A0F" w:rsidRDefault="00EC0216" w:rsidP="008C0865">
            <w:pPr>
              <w:rPr>
                <w:rFonts w:eastAsia="Calibri"/>
              </w:rPr>
            </w:pPr>
          </w:p>
        </w:tc>
        <w:tc>
          <w:tcPr>
            <w:tcW w:w="1162" w:type="pct"/>
            <w:vMerge/>
            <w:tcBorders>
              <w:bottom w:val="single" w:sz="4" w:space="0" w:color="000000" w:themeColor="text1"/>
            </w:tcBorders>
            <w:shd w:val="clear" w:color="auto" w:fill="auto"/>
          </w:tcPr>
          <w:p w14:paraId="0F8EFF22" w14:textId="77777777" w:rsidR="00EC0216" w:rsidRPr="005F2A0F" w:rsidRDefault="00EC0216" w:rsidP="008C0865">
            <w:pPr>
              <w:rPr>
                <w:rFonts w:eastAsia="Calibri"/>
              </w:rPr>
            </w:pPr>
          </w:p>
        </w:tc>
        <w:tc>
          <w:tcPr>
            <w:tcW w:w="120" w:type="pct"/>
            <w:shd w:val="clear" w:color="auto" w:fill="FDE79A"/>
          </w:tcPr>
          <w:p w14:paraId="7BDE83E1" w14:textId="77777777" w:rsidR="00EC0216" w:rsidRPr="005F2A0F" w:rsidRDefault="00EC0216" w:rsidP="008C0865">
            <w:pPr>
              <w:rPr>
                <w:rFonts w:eastAsia="Calibri"/>
              </w:rPr>
            </w:pPr>
          </w:p>
        </w:tc>
        <w:tc>
          <w:tcPr>
            <w:tcW w:w="751" w:type="pct"/>
            <w:shd w:val="clear" w:color="auto" w:fill="auto"/>
          </w:tcPr>
          <w:p w14:paraId="22764859" w14:textId="77777777" w:rsidR="00EC0216" w:rsidRPr="005F2A0F" w:rsidRDefault="00EC0216" w:rsidP="001B5A8A">
            <w:pPr>
              <w:pStyle w:val="Tablebody0"/>
            </w:pPr>
            <w:r w:rsidRPr="005F2A0F">
              <w:t>Some progress</w:t>
            </w:r>
          </w:p>
        </w:tc>
        <w:tc>
          <w:tcPr>
            <w:tcW w:w="974" w:type="pct"/>
            <w:vMerge/>
          </w:tcPr>
          <w:p w14:paraId="2EC250AE" w14:textId="77777777" w:rsidR="00EC0216" w:rsidRPr="005F2A0F" w:rsidRDefault="00EC0216" w:rsidP="008C0865">
            <w:pPr>
              <w:rPr>
                <w:rFonts w:eastAsia="Calibri"/>
              </w:rPr>
            </w:pPr>
          </w:p>
        </w:tc>
      </w:tr>
      <w:tr w:rsidR="00B62EDB" w:rsidRPr="005F2A0F" w14:paraId="1011D74C" w14:textId="77777777" w:rsidTr="00B62EDB">
        <w:trPr>
          <w:trHeight w:val="535"/>
        </w:trPr>
        <w:tc>
          <w:tcPr>
            <w:tcW w:w="1157" w:type="pct"/>
            <w:vMerge/>
            <w:tcBorders>
              <w:bottom w:val="single" w:sz="4" w:space="0" w:color="000000" w:themeColor="text1"/>
            </w:tcBorders>
          </w:tcPr>
          <w:p w14:paraId="18D6E65B" w14:textId="77777777" w:rsidR="00EC0216" w:rsidRPr="005F2A0F" w:rsidRDefault="00EC0216" w:rsidP="008C0865"/>
        </w:tc>
        <w:tc>
          <w:tcPr>
            <w:tcW w:w="836" w:type="pct"/>
            <w:vMerge/>
            <w:tcBorders>
              <w:bottom w:val="single" w:sz="4" w:space="0" w:color="000000" w:themeColor="text1"/>
            </w:tcBorders>
          </w:tcPr>
          <w:p w14:paraId="07500043" w14:textId="77777777" w:rsidR="00EC0216" w:rsidRPr="005F2A0F" w:rsidRDefault="00EC0216" w:rsidP="008C0865">
            <w:pPr>
              <w:rPr>
                <w:rFonts w:eastAsia="Calibri"/>
              </w:rPr>
            </w:pPr>
          </w:p>
        </w:tc>
        <w:tc>
          <w:tcPr>
            <w:tcW w:w="1162" w:type="pct"/>
            <w:vMerge/>
            <w:tcBorders>
              <w:bottom w:val="single" w:sz="4" w:space="0" w:color="000000" w:themeColor="text1"/>
            </w:tcBorders>
            <w:shd w:val="clear" w:color="auto" w:fill="auto"/>
          </w:tcPr>
          <w:p w14:paraId="2326BD98" w14:textId="77777777" w:rsidR="00EC0216" w:rsidRPr="005F2A0F" w:rsidRDefault="00EC0216" w:rsidP="008C0865">
            <w:pPr>
              <w:rPr>
                <w:rFonts w:eastAsia="Calibri"/>
              </w:rPr>
            </w:pPr>
          </w:p>
        </w:tc>
        <w:tc>
          <w:tcPr>
            <w:tcW w:w="120" w:type="pct"/>
            <w:shd w:val="clear" w:color="auto" w:fill="FAAF05"/>
          </w:tcPr>
          <w:p w14:paraId="20442CFD" w14:textId="77777777" w:rsidR="00EC0216" w:rsidRPr="005F2A0F" w:rsidRDefault="00EC0216" w:rsidP="008C0865">
            <w:pPr>
              <w:rPr>
                <w:rFonts w:eastAsia="Calibri"/>
              </w:rPr>
            </w:pPr>
          </w:p>
        </w:tc>
        <w:tc>
          <w:tcPr>
            <w:tcW w:w="751" w:type="pct"/>
            <w:shd w:val="clear" w:color="auto" w:fill="auto"/>
          </w:tcPr>
          <w:p w14:paraId="727EA54C" w14:textId="0855C746" w:rsidR="00EC0216" w:rsidRPr="005F2A0F" w:rsidRDefault="00EC0216" w:rsidP="001B5A8A">
            <w:pPr>
              <w:pStyle w:val="Tablebody0"/>
            </w:pPr>
            <w:r w:rsidRPr="005F2A0F">
              <w:t>Not started</w:t>
            </w:r>
            <w:r w:rsidR="00B62EDB">
              <w:t xml:space="preserve">, or </w:t>
            </w:r>
            <w:r w:rsidRPr="005F2A0F">
              <w:t>stalled</w:t>
            </w:r>
          </w:p>
        </w:tc>
        <w:tc>
          <w:tcPr>
            <w:tcW w:w="974" w:type="pct"/>
            <w:vMerge/>
          </w:tcPr>
          <w:p w14:paraId="7F984812" w14:textId="77777777" w:rsidR="00EC0216" w:rsidRPr="005F2A0F" w:rsidRDefault="00EC0216" w:rsidP="008C0865">
            <w:pPr>
              <w:rPr>
                <w:rFonts w:eastAsia="Calibri"/>
              </w:rPr>
            </w:pPr>
          </w:p>
        </w:tc>
      </w:tr>
    </w:tbl>
    <w:p w14:paraId="701EBF8C" w14:textId="1F126D36" w:rsidR="000D3749" w:rsidRPr="00092FA1" w:rsidRDefault="000D3749" w:rsidP="00092FA1">
      <w:pPr>
        <w:spacing w:after="0"/>
        <w:jc w:val="left"/>
        <w:rPr>
          <w:rFonts w:ascii="Public Sans Light" w:eastAsia="Calibri" w:hAnsi="Public Sans Light" w:cstheme="majorBidi"/>
          <w:color w:val="000000" w:themeColor="text1"/>
          <w:spacing w:val="5"/>
          <w:kern w:val="28"/>
          <w:sz w:val="20"/>
          <w:szCs w:val="28"/>
          <w:lang w:eastAsia="en-US"/>
        </w:rPr>
      </w:pPr>
    </w:p>
    <w:tbl>
      <w:tblPr>
        <w:tblStyle w:val="NSWGov-DPIE-Header"/>
        <w:tblW w:w="4930" w:type="pct"/>
        <w:tblLayout w:type="fixed"/>
        <w:tblLook w:val="04A0" w:firstRow="1" w:lastRow="0" w:firstColumn="1" w:lastColumn="0" w:noHBand="0" w:noVBand="1"/>
      </w:tblPr>
      <w:tblGrid>
        <w:gridCol w:w="2264"/>
        <w:gridCol w:w="1559"/>
        <w:gridCol w:w="2125"/>
        <w:gridCol w:w="1707"/>
        <w:gridCol w:w="1838"/>
      </w:tblGrid>
      <w:tr w:rsidR="00B62EDB" w:rsidRPr="005F2A0F" w14:paraId="7A132119" w14:textId="77777777" w:rsidTr="0090402C">
        <w:trPr>
          <w:cnfStyle w:val="100000000000" w:firstRow="1" w:lastRow="0" w:firstColumn="0" w:lastColumn="0" w:oddVBand="0" w:evenVBand="0" w:oddHBand="0" w:evenHBand="0" w:firstRowFirstColumn="0" w:firstRowLastColumn="0" w:lastRowFirstColumn="0" w:lastRowLastColumn="0"/>
        </w:trPr>
        <w:tc>
          <w:tcPr>
            <w:tcW w:w="1193" w:type="pct"/>
            <w:tcBorders>
              <w:right w:val="single" w:sz="4" w:space="0" w:color="auto"/>
            </w:tcBorders>
            <w:shd w:val="clear" w:color="auto" w:fill="auto"/>
          </w:tcPr>
          <w:p w14:paraId="21AD7458" w14:textId="7C06604D" w:rsidR="005538F4" w:rsidRPr="005F2A0F" w:rsidRDefault="005538F4" w:rsidP="001B5A8A">
            <w:pPr>
              <w:pStyle w:val="Tablebody0"/>
            </w:pPr>
            <w:r w:rsidRPr="005F2A0F">
              <w:t>Current climate risk management maturity has been assessed</w:t>
            </w:r>
          </w:p>
        </w:tc>
        <w:tc>
          <w:tcPr>
            <w:tcW w:w="821" w:type="pct"/>
            <w:tcBorders>
              <w:left w:val="single" w:sz="4" w:space="0" w:color="auto"/>
              <w:right w:val="single" w:sz="4" w:space="0" w:color="auto"/>
            </w:tcBorders>
            <w:shd w:val="clear" w:color="auto" w:fill="auto"/>
          </w:tcPr>
          <w:p w14:paraId="1655178F" w14:textId="20F47C26" w:rsidR="005538F4" w:rsidRPr="005F2A0F" w:rsidRDefault="00C97776" w:rsidP="001B5A8A">
            <w:pPr>
              <w:pStyle w:val="Tablebody0"/>
            </w:pPr>
            <w:r>
              <w:t>Climate Readiness</w:t>
            </w:r>
            <w:r w:rsidR="005538F4" w:rsidRPr="005F2A0F">
              <w:t xml:space="preserve"> Tool assessment complete</w:t>
            </w:r>
          </w:p>
        </w:tc>
        <w:tc>
          <w:tcPr>
            <w:tcW w:w="1119" w:type="pct"/>
            <w:tcBorders>
              <w:left w:val="single" w:sz="4" w:space="0" w:color="auto"/>
              <w:right w:val="single" w:sz="4" w:space="0" w:color="auto"/>
            </w:tcBorders>
            <w:shd w:val="clear" w:color="auto" w:fill="auto"/>
          </w:tcPr>
          <w:p w14:paraId="59757648" w14:textId="5E4B74E0" w:rsidR="005538F4" w:rsidRPr="005F2A0F" w:rsidRDefault="005538F4" w:rsidP="001B5A8A">
            <w:pPr>
              <w:pStyle w:val="Tablebody0"/>
            </w:pPr>
            <w:r w:rsidRPr="005F2A0F">
              <w:t xml:space="preserve">Corporate </w:t>
            </w:r>
            <w:r w:rsidR="0090402C">
              <w:t>r</w:t>
            </w:r>
            <w:r w:rsidRPr="005F2A0F">
              <w:t>isk manager</w:t>
            </w:r>
          </w:p>
        </w:tc>
        <w:tc>
          <w:tcPr>
            <w:tcW w:w="899" w:type="pct"/>
            <w:tcBorders>
              <w:left w:val="single" w:sz="4" w:space="0" w:color="auto"/>
              <w:right w:val="single" w:sz="4" w:space="0" w:color="auto"/>
            </w:tcBorders>
            <w:shd w:val="clear" w:color="auto" w:fill="A8EDB3"/>
          </w:tcPr>
          <w:p w14:paraId="0A477DE1" w14:textId="77777777" w:rsidR="005538F4" w:rsidRPr="005F2A0F" w:rsidRDefault="005538F4" w:rsidP="001B5A8A">
            <w:pPr>
              <w:pStyle w:val="Tablebody0"/>
            </w:pPr>
            <w:r w:rsidRPr="005F2A0F">
              <w:t>Complete</w:t>
            </w:r>
          </w:p>
        </w:tc>
        <w:tc>
          <w:tcPr>
            <w:tcW w:w="968" w:type="pct"/>
            <w:tcBorders>
              <w:left w:val="single" w:sz="4" w:space="0" w:color="auto"/>
            </w:tcBorders>
            <w:shd w:val="clear" w:color="auto" w:fill="auto"/>
          </w:tcPr>
          <w:p w14:paraId="73B4CC6B" w14:textId="3BDE2ECB" w:rsidR="005538F4" w:rsidRPr="005F2A0F" w:rsidRDefault="005538F4" w:rsidP="001B5A8A">
            <w:pPr>
              <w:pStyle w:val="Tablebody0"/>
            </w:pPr>
            <w:r w:rsidRPr="005F2A0F">
              <w:t>Refer</w:t>
            </w:r>
            <w:r w:rsidR="0045343F">
              <w:t xml:space="preserve"> to </w:t>
            </w:r>
            <w:hyperlink r:id="rId15" w:history="1">
              <w:r w:rsidR="00B81776" w:rsidRPr="00DE4799">
                <w:rPr>
                  <w:rStyle w:val="Hyperlink"/>
                </w:rPr>
                <w:t xml:space="preserve">Local Government </w:t>
              </w:r>
              <w:r w:rsidR="00C97776" w:rsidRPr="00DE4799">
                <w:rPr>
                  <w:rStyle w:val="Hyperlink"/>
                </w:rPr>
                <w:t>Climate Readiness</w:t>
              </w:r>
              <w:r w:rsidRPr="00DE4799">
                <w:rPr>
                  <w:rStyle w:val="Hyperlink"/>
                </w:rPr>
                <w:t xml:space="preserve"> Tool</w:t>
              </w:r>
            </w:hyperlink>
            <w:r w:rsidRPr="005F2A0F">
              <w:t xml:space="preserve">. Current level of maturity: </w:t>
            </w:r>
            <w:r w:rsidR="0090402C">
              <w:t>b</w:t>
            </w:r>
            <w:r w:rsidRPr="005F2A0F">
              <w:t>asic</w:t>
            </w:r>
          </w:p>
        </w:tc>
      </w:tr>
      <w:tr w:rsidR="00DA2FD9" w:rsidRPr="005F2A0F" w14:paraId="28D1AC19" w14:textId="77777777" w:rsidTr="0090402C">
        <w:tc>
          <w:tcPr>
            <w:tcW w:w="1193" w:type="pct"/>
          </w:tcPr>
          <w:p w14:paraId="4AE9C294" w14:textId="41A82431" w:rsidR="005538F4" w:rsidRPr="005F2A0F" w:rsidRDefault="005538F4" w:rsidP="001B5A8A">
            <w:pPr>
              <w:pStyle w:val="Tablebody0"/>
            </w:pPr>
            <w:r w:rsidRPr="005F2A0F">
              <w:t>Risks have been mapped against Council’s success criteria</w:t>
            </w:r>
            <w:r w:rsidR="0090402C">
              <w:t>,</w:t>
            </w:r>
            <w:r w:rsidRPr="005F2A0F">
              <w:t xml:space="preserve"> and adaptation measures </w:t>
            </w:r>
            <w:r w:rsidR="0090402C">
              <w:t xml:space="preserve">have been </w:t>
            </w:r>
            <w:r w:rsidRPr="005F2A0F">
              <w:t>prioriti</w:t>
            </w:r>
            <w:r w:rsidR="0090402C">
              <w:t>s</w:t>
            </w:r>
            <w:r w:rsidRPr="005F2A0F">
              <w:t>ed for implementation</w:t>
            </w:r>
          </w:p>
        </w:tc>
        <w:tc>
          <w:tcPr>
            <w:tcW w:w="821" w:type="pct"/>
          </w:tcPr>
          <w:p w14:paraId="04DA8368" w14:textId="1F89E446" w:rsidR="005538F4" w:rsidRPr="005F2A0F" w:rsidRDefault="005538F4" w:rsidP="001B5A8A">
            <w:pPr>
              <w:pStyle w:val="Tablebody0"/>
            </w:pPr>
            <w:r w:rsidRPr="005F2A0F">
              <w:t>7 priority risks identified</w:t>
            </w:r>
          </w:p>
        </w:tc>
        <w:tc>
          <w:tcPr>
            <w:tcW w:w="1119" w:type="pct"/>
          </w:tcPr>
          <w:p w14:paraId="4DEFE5E0" w14:textId="6A81403E" w:rsidR="005538F4" w:rsidRPr="005F2A0F" w:rsidRDefault="005538F4" w:rsidP="001B5A8A">
            <w:pPr>
              <w:pStyle w:val="Tablebody0"/>
            </w:pPr>
            <w:r w:rsidRPr="005F2A0F">
              <w:t xml:space="preserve">Corporate </w:t>
            </w:r>
            <w:r w:rsidR="0090402C">
              <w:t>r</w:t>
            </w:r>
            <w:r w:rsidRPr="005F2A0F">
              <w:t>isk manager</w:t>
            </w:r>
          </w:p>
        </w:tc>
        <w:tc>
          <w:tcPr>
            <w:tcW w:w="899" w:type="pct"/>
            <w:shd w:val="clear" w:color="auto" w:fill="A8EDB3"/>
          </w:tcPr>
          <w:p w14:paraId="0752ABF4" w14:textId="77777777" w:rsidR="005538F4" w:rsidRPr="005F2A0F" w:rsidRDefault="005538F4" w:rsidP="001B5A8A">
            <w:pPr>
              <w:pStyle w:val="Tablebody0"/>
            </w:pPr>
            <w:r w:rsidRPr="005F2A0F">
              <w:t>On track</w:t>
            </w:r>
          </w:p>
        </w:tc>
        <w:tc>
          <w:tcPr>
            <w:tcW w:w="968" w:type="pct"/>
            <w:tcBorders>
              <w:right w:val="single" w:sz="4" w:space="0" w:color="auto"/>
            </w:tcBorders>
          </w:tcPr>
          <w:p w14:paraId="099B607F" w14:textId="7FB49018" w:rsidR="005538F4" w:rsidRPr="005F2A0F" w:rsidRDefault="005538F4" w:rsidP="001B5A8A">
            <w:pPr>
              <w:pStyle w:val="Tablebody0"/>
            </w:pPr>
            <w:r w:rsidRPr="005F2A0F">
              <w:t>Complete – refer</w:t>
            </w:r>
            <w:r w:rsidR="0045343F">
              <w:t xml:space="preserve"> to</w:t>
            </w:r>
            <w:r w:rsidRPr="005F2A0F">
              <w:t xml:space="preserve"> </w:t>
            </w:r>
            <w:r w:rsidRPr="0090402C">
              <w:rPr>
                <w:highlight w:val="yellow"/>
              </w:rPr>
              <w:t>XYZ</w:t>
            </w:r>
          </w:p>
        </w:tc>
      </w:tr>
      <w:tr w:rsidR="00DA2FD9" w:rsidRPr="005F2A0F" w14:paraId="3120ECB6" w14:textId="77777777" w:rsidTr="0090402C">
        <w:tc>
          <w:tcPr>
            <w:tcW w:w="1193" w:type="pct"/>
          </w:tcPr>
          <w:p w14:paraId="0EC40B42" w14:textId="7B8A7F8F" w:rsidR="005538F4" w:rsidRPr="005F2A0F" w:rsidRDefault="005538F4" w:rsidP="001B5A8A">
            <w:pPr>
              <w:pStyle w:val="Tablebody0"/>
            </w:pPr>
            <w:r w:rsidRPr="005F2A0F">
              <w:t>Leadership team ha</w:t>
            </w:r>
            <w:r w:rsidR="0090402C">
              <w:t>s</w:t>
            </w:r>
            <w:r w:rsidRPr="005F2A0F">
              <w:t xml:space="preserve"> been briefed on the findings of the climate change risk assessment</w:t>
            </w:r>
          </w:p>
        </w:tc>
        <w:tc>
          <w:tcPr>
            <w:tcW w:w="821" w:type="pct"/>
          </w:tcPr>
          <w:p w14:paraId="11F0A418" w14:textId="08071971" w:rsidR="005538F4" w:rsidRPr="005F2A0F" w:rsidRDefault="005538F4" w:rsidP="001B5A8A">
            <w:pPr>
              <w:pStyle w:val="Tablebody0"/>
            </w:pPr>
            <w:r w:rsidRPr="005F2A0F">
              <w:t>Pending completion of risk assessment</w:t>
            </w:r>
          </w:p>
        </w:tc>
        <w:tc>
          <w:tcPr>
            <w:tcW w:w="1119" w:type="pct"/>
          </w:tcPr>
          <w:p w14:paraId="57D3DA46" w14:textId="0B4C8684" w:rsidR="005538F4" w:rsidRPr="005F2A0F" w:rsidRDefault="005538F4" w:rsidP="001B5A8A">
            <w:pPr>
              <w:pStyle w:val="Tablebody0"/>
            </w:pPr>
            <w:r w:rsidRPr="005F2A0F">
              <w:t xml:space="preserve">Corporate </w:t>
            </w:r>
            <w:r w:rsidR="0090402C">
              <w:t>r</w:t>
            </w:r>
            <w:r w:rsidRPr="005F2A0F">
              <w:t>isk manager</w:t>
            </w:r>
          </w:p>
        </w:tc>
        <w:tc>
          <w:tcPr>
            <w:tcW w:w="899" w:type="pct"/>
            <w:shd w:val="clear" w:color="auto" w:fill="A8EDB3"/>
          </w:tcPr>
          <w:p w14:paraId="75699A0D" w14:textId="77777777" w:rsidR="005538F4" w:rsidRPr="005F2A0F" w:rsidRDefault="005538F4" w:rsidP="001B5A8A">
            <w:pPr>
              <w:pStyle w:val="Tablebody0"/>
            </w:pPr>
            <w:r w:rsidRPr="005F2A0F">
              <w:t>Complete</w:t>
            </w:r>
          </w:p>
        </w:tc>
        <w:tc>
          <w:tcPr>
            <w:tcW w:w="968" w:type="pct"/>
            <w:tcBorders>
              <w:right w:val="single" w:sz="4" w:space="0" w:color="auto"/>
            </w:tcBorders>
          </w:tcPr>
          <w:p w14:paraId="6F47D0C4" w14:textId="77777777" w:rsidR="005538F4" w:rsidRPr="005F2A0F" w:rsidRDefault="005538F4" w:rsidP="001B5A8A">
            <w:pPr>
              <w:pStyle w:val="Tablebody0"/>
            </w:pPr>
            <w:r w:rsidRPr="005F2A0F">
              <w:t xml:space="preserve">Leadership team briefed on </w:t>
            </w:r>
            <w:r w:rsidRPr="0090402C">
              <w:rPr>
                <w:highlight w:val="yellow"/>
              </w:rPr>
              <w:t>XYZ</w:t>
            </w:r>
          </w:p>
        </w:tc>
      </w:tr>
      <w:tr w:rsidR="00DA2FD9" w:rsidRPr="005F2A0F" w14:paraId="751226D2" w14:textId="77777777" w:rsidTr="0090402C">
        <w:tc>
          <w:tcPr>
            <w:tcW w:w="1193" w:type="pct"/>
          </w:tcPr>
          <w:p w14:paraId="5725BF2F" w14:textId="11D12948" w:rsidR="005538F4" w:rsidRPr="005F2A0F" w:rsidRDefault="005538F4" w:rsidP="001B5A8A">
            <w:pPr>
              <w:pStyle w:val="Tablebody0"/>
            </w:pPr>
            <w:r w:rsidRPr="005F2A0F">
              <w:lastRenderedPageBreak/>
              <w:t xml:space="preserve">Number of adaptation measures </w:t>
            </w:r>
            <w:r w:rsidR="0090402C">
              <w:t>that</w:t>
            </w:r>
            <w:r w:rsidR="0090402C" w:rsidRPr="005F2A0F">
              <w:t xml:space="preserve"> </w:t>
            </w:r>
            <w:r w:rsidRPr="005F2A0F">
              <w:t>have been implemented</w:t>
            </w:r>
          </w:p>
        </w:tc>
        <w:tc>
          <w:tcPr>
            <w:tcW w:w="821" w:type="pct"/>
          </w:tcPr>
          <w:p w14:paraId="5E244956" w14:textId="05B72EFF" w:rsidR="005538F4" w:rsidRPr="005F2A0F" w:rsidRDefault="005538F4" w:rsidP="001B5A8A">
            <w:pPr>
              <w:pStyle w:val="Tablebody0"/>
            </w:pPr>
            <w:r w:rsidRPr="005F2A0F">
              <w:t>12 adaptation measures identified for implementation</w:t>
            </w:r>
          </w:p>
        </w:tc>
        <w:tc>
          <w:tcPr>
            <w:tcW w:w="1119" w:type="pct"/>
          </w:tcPr>
          <w:p w14:paraId="311E4B39" w14:textId="0A6C0513" w:rsidR="005538F4" w:rsidRPr="005F2A0F" w:rsidRDefault="005538F4" w:rsidP="001B5A8A">
            <w:pPr>
              <w:pStyle w:val="Tablebody0"/>
            </w:pPr>
            <w:r w:rsidRPr="005F2A0F">
              <w:t>Assessment team</w:t>
            </w:r>
          </w:p>
        </w:tc>
        <w:tc>
          <w:tcPr>
            <w:tcW w:w="899" w:type="pct"/>
            <w:shd w:val="clear" w:color="auto" w:fill="FDE79A"/>
          </w:tcPr>
          <w:p w14:paraId="7238A185" w14:textId="6D0B6BB0" w:rsidR="005538F4" w:rsidRPr="005F2A0F" w:rsidRDefault="005538F4" w:rsidP="001B5A8A">
            <w:pPr>
              <w:pStyle w:val="Tablebody0"/>
            </w:pPr>
            <w:r w:rsidRPr="005F2A0F">
              <w:t>Some progress</w:t>
            </w:r>
          </w:p>
        </w:tc>
        <w:tc>
          <w:tcPr>
            <w:tcW w:w="968" w:type="pct"/>
            <w:tcBorders>
              <w:right w:val="single" w:sz="4" w:space="0" w:color="auto"/>
            </w:tcBorders>
          </w:tcPr>
          <w:p w14:paraId="01996707" w14:textId="5EB25A57" w:rsidR="005538F4" w:rsidRPr="005F2A0F" w:rsidRDefault="005538F4" w:rsidP="001B5A8A">
            <w:pPr>
              <w:pStyle w:val="Tablebody0"/>
            </w:pPr>
            <w:r w:rsidRPr="005F2A0F">
              <w:t>Cross</w:t>
            </w:r>
            <w:r w:rsidR="0090402C">
              <w:t>-</w:t>
            </w:r>
            <w:r w:rsidRPr="005F2A0F">
              <w:t xml:space="preserve">reference to risk </w:t>
            </w:r>
            <w:r w:rsidR="0090402C">
              <w:t>r</w:t>
            </w:r>
            <w:r w:rsidRPr="007B25E1">
              <w:t>egister</w:t>
            </w:r>
            <w:r w:rsidR="0090402C">
              <w:t xml:space="preserve"> or </w:t>
            </w:r>
            <w:r w:rsidRPr="007B25E1">
              <w:t>summary</w:t>
            </w:r>
            <w:r w:rsidRPr="005F2A0F">
              <w:t xml:space="preserve"> of implementation status against each adaptation action</w:t>
            </w:r>
          </w:p>
        </w:tc>
      </w:tr>
      <w:tr w:rsidR="00DA2FD9" w:rsidRPr="005F2A0F" w14:paraId="435DD1E9" w14:textId="77777777" w:rsidTr="0090402C">
        <w:tc>
          <w:tcPr>
            <w:tcW w:w="1193" w:type="pct"/>
            <w:tcBorders>
              <w:bottom w:val="single" w:sz="4" w:space="0" w:color="auto"/>
            </w:tcBorders>
          </w:tcPr>
          <w:p w14:paraId="546837BB" w14:textId="7B40B4E9" w:rsidR="005538F4" w:rsidRPr="005F2A0F" w:rsidRDefault="005538F4" w:rsidP="001B5A8A">
            <w:pPr>
              <w:pStyle w:val="Tablebody0"/>
            </w:pPr>
            <w:r w:rsidRPr="005F2A0F">
              <w:t>Climate change risk assessment team involved in post</w:t>
            </w:r>
            <w:r w:rsidR="00A12087">
              <w:t>–</w:t>
            </w:r>
            <w:r w:rsidRPr="005F2A0F">
              <w:t>hazardous event debriefs</w:t>
            </w:r>
          </w:p>
        </w:tc>
        <w:tc>
          <w:tcPr>
            <w:tcW w:w="821" w:type="pct"/>
            <w:tcBorders>
              <w:bottom w:val="single" w:sz="4" w:space="0" w:color="auto"/>
            </w:tcBorders>
          </w:tcPr>
          <w:p w14:paraId="3D2EE676" w14:textId="7C6951C4" w:rsidR="005538F4" w:rsidRPr="005F2A0F" w:rsidRDefault="005538F4" w:rsidP="001B5A8A">
            <w:pPr>
              <w:pStyle w:val="Tablebody0"/>
            </w:pPr>
            <w:r w:rsidRPr="005F2A0F">
              <w:t xml:space="preserve">Involved in an </w:t>
            </w:r>
            <w:r w:rsidR="007B25E1">
              <w:br/>
            </w:r>
            <w:r w:rsidRPr="005F2A0F">
              <w:t>ad</w:t>
            </w:r>
            <w:r w:rsidR="0090402C">
              <w:t xml:space="preserve"> </w:t>
            </w:r>
            <w:r w:rsidRPr="005F2A0F">
              <w:t>hoc manner</w:t>
            </w:r>
          </w:p>
        </w:tc>
        <w:tc>
          <w:tcPr>
            <w:tcW w:w="1119" w:type="pct"/>
            <w:tcBorders>
              <w:bottom w:val="single" w:sz="4" w:space="0" w:color="auto"/>
            </w:tcBorders>
          </w:tcPr>
          <w:p w14:paraId="4B4C1B6D" w14:textId="6F72C79C" w:rsidR="005538F4" w:rsidRPr="005F2A0F" w:rsidRDefault="005538F4" w:rsidP="001B5A8A">
            <w:pPr>
              <w:pStyle w:val="Tablebody0"/>
            </w:pPr>
            <w:r w:rsidRPr="005F2A0F">
              <w:t xml:space="preserve">Corporate </w:t>
            </w:r>
            <w:r w:rsidR="0090402C">
              <w:t>r</w:t>
            </w:r>
            <w:r w:rsidRPr="005F2A0F">
              <w:t>isk manager</w:t>
            </w:r>
          </w:p>
        </w:tc>
        <w:tc>
          <w:tcPr>
            <w:tcW w:w="899" w:type="pct"/>
            <w:tcBorders>
              <w:bottom w:val="single" w:sz="4" w:space="0" w:color="auto"/>
            </w:tcBorders>
            <w:shd w:val="clear" w:color="auto" w:fill="A8EDB3"/>
          </w:tcPr>
          <w:p w14:paraId="41C50747" w14:textId="513F8D18" w:rsidR="005538F4" w:rsidRPr="005F2A0F" w:rsidRDefault="005538F4" w:rsidP="001B5A8A">
            <w:pPr>
              <w:pStyle w:val="Tablebody0"/>
            </w:pPr>
            <w:r w:rsidRPr="005F2A0F">
              <w:t>On track</w:t>
            </w:r>
          </w:p>
        </w:tc>
        <w:tc>
          <w:tcPr>
            <w:tcW w:w="968" w:type="pct"/>
            <w:tcBorders>
              <w:bottom w:val="single" w:sz="4" w:space="0" w:color="auto"/>
              <w:right w:val="single" w:sz="4" w:space="0" w:color="auto"/>
            </w:tcBorders>
          </w:tcPr>
          <w:p w14:paraId="3EB51119" w14:textId="2E997C3A" w:rsidR="005538F4" w:rsidRPr="005F2A0F" w:rsidRDefault="005538F4" w:rsidP="001B5A8A">
            <w:pPr>
              <w:pStyle w:val="Tablebody0"/>
            </w:pPr>
            <w:r w:rsidRPr="005F2A0F">
              <w:t>Hazard event has triggered review of Council design specifications</w:t>
            </w:r>
          </w:p>
        </w:tc>
      </w:tr>
      <w:tr w:rsidR="00DA2FD9" w:rsidRPr="005F2A0F" w14:paraId="4A6CEBB2" w14:textId="77777777" w:rsidTr="0090402C">
        <w:tc>
          <w:tcPr>
            <w:tcW w:w="1193" w:type="pct"/>
            <w:tcBorders>
              <w:bottom w:val="single" w:sz="4" w:space="0" w:color="auto"/>
            </w:tcBorders>
          </w:tcPr>
          <w:p w14:paraId="014AABB8" w14:textId="6D81177E" w:rsidR="005538F4" w:rsidRPr="005F2A0F" w:rsidRDefault="00A12087" w:rsidP="001B5A8A">
            <w:pPr>
              <w:pStyle w:val="Tablebody0"/>
            </w:pPr>
            <w:r>
              <w:t>N</w:t>
            </w:r>
            <w:r w:rsidR="005538F4" w:rsidRPr="005F2A0F">
              <w:t>umber of risks rated a</w:t>
            </w:r>
            <w:r w:rsidR="0090402C">
              <w:t>s</w:t>
            </w:r>
            <w:r w:rsidR="005538F4" w:rsidRPr="005F2A0F">
              <w:t xml:space="preserve"> </w:t>
            </w:r>
            <w:r w:rsidR="0090402C">
              <w:t>m</w:t>
            </w:r>
            <w:r w:rsidR="005538F4" w:rsidRPr="005F2A0F">
              <w:t>edium</w:t>
            </w:r>
            <w:r w:rsidR="0090402C">
              <w:t>, h</w:t>
            </w:r>
            <w:r w:rsidR="005538F4" w:rsidRPr="005F2A0F">
              <w:t>igh</w:t>
            </w:r>
            <w:r w:rsidR="0090402C">
              <w:t xml:space="preserve"> or e</w:t>
            </w:r>
            <w:r w:rsidR="005538F4" w:rsidRPr="005F2A0F">
              <w:t>xtreme ha</w:t>
            </w:r>
            <w:r w:rsidR="0090402C">
              <w:t>s</w:t>
            </w:r>
            <w:r w:rsidR="005538F4" w:rsidRPr="005F2A0F">
              <w:t xml:space="preserve"> been reduced through implementation of adaptation measures</w:t>
            </w:r>
          </w:p>
        </w:tc>
        <w:tc>
          <w:tcPr>
            <w:tcW w:w="821" w:type="pct"/>
            <w:tcBorders>
              <w:bottom w:val="single" w:sz="4" w:space="0" w:color="auto"/>
            </w:tcBorders>
          </w:tcPr>
          <w:p w14:paraId="28AA5DAE" w14:textId="0C6F1F28" w:rsidR="005538F4" w:rsidRPr="005F2A0F" w:rsidRDefault="005538F4" w:rsidP="001B5A8A">
            <w:pPr>
              <w:pStyle w:val="Tablebody0"/>
            </w:pPr>
            <w:r w:rsidRPr="005F2A0F">
              <w:t xml:space="preserve">1 </w:t>
            </w:r>
            <w:r w:rsidR="0090402C">
              <w:t>e</w:t>
            </w:r>
            <w:r w:rsidRPr="005F2A0F">
              <w:t>xtreme risk</w:t>
            </w:r>
          </w:p>
          <w:p w14:paraId="2AD899A8" w14:textId="1E0B080B" w:rsidR="005538F4" w:rsidRPr="005F2A0F" w:rsidRDefault="005538F4" w:rsidP="001B5A8A">
            <w:pPr>
              <w:pStyle w:val="Tablebody0"/>
            </w:pPr>
            <w:r w:rsidRPr="005F2A0F">
              <w:t xml:space="preserve">3 </w:t>
            </w:r>
            <w:r w:rsidR="0090402C">
              <w:t>h</w:t>
            </w:r>
            <w:r w:rsidRPr="005F2A0F">
              <w:t>igh risks</w:t>
            </w:r>
          </w:p>
          <w:p w14:paraId="528B7EE9" w14:textId="28403E8D" w:rsidR="005538F4" w:rsidRPr="005F2A0F" w:rsidRDefault="005538F4" w:rsidP="001B5A8A">
            <w:pPr>
              <w:pStyle w:val="Tablebody0"/>
            </w:pPr>
            <w:r w:rsidRPr="005F2A0F">
              <w:t xml:space="preserve">10 </w:t>
            </w:r>
            <w:r w:rsidR="0090402C">
              <w:t>m</w:t>
            </w:r>
            <w:r w:rsidRPr="005F2A0F">
              <w:t>edium risks</w:t>
            </w:r>
          </w:p>
        </w:tc>
        <w:tc>
          <w:tcPr>
            <w:tcW w:w="1119" w:type="pct"/>
            <w:tcBorders>
              <w:bottom w:val="single" w:sz="4" w:space="0" w:color="auto"/>
            </w:tcBorders>
          </w:tcPr>
          <w:p w14:paraId="4C908DAB" w14:textId="43AC75AC" w:rsidR="005538F4" w:rsidRPr="005F2A0F" w:rsidRDefault="005538F4" w:rsidP="001B5A8A">
            <w:pPr>
              <w:pStyle w:val="Tablebody0"/>
            </w:pPr>
            <w:r w:rsidRPr="005F2A0F">
              <w:t xml:space="preserve">Corporate </w:t>
            </w:r>
            <w:r w:rsidR="0090402C">
              <w:t>r</w:t>
            </w:r>
            <w:r w:rsidRPr="005F2A0F">
              <w:t>isk manager</w:t>
            </w:r>
          </w:p>
        </w:tc>
        <w:tc>
          <w:tcPr>
            <w:tcW w:w="899" w:type="pct"/>
            <w:tcBorders>
              <w:bottom w:val="single" w:sz="4" w:space="0" w:color="auto"/>
            </w:tcBorders>
            <w:shd w:val="clear" w:color="auto" w:fill="FAAF05"/>
          </w:tcPr>
          <w:p w14:paraId="6097B32F" w14:textId="77777777" w:rsidR="005538F4" w:rsidRPr="005F2A0F" w:rsidRDefault="005538F4" w:rsidP="001B5A8A">
            <w:pPr>
              <w:pStyle w:val="Tablebody0"/>
            </w:pPr>
            <w:r w:rsidRPr="005F2A0F">
              <w:t xml:space="preserve">Not started </w:t>
            </w:r>
          </w:p>
        </w:tc>
        <w:tc>
          <w:tcPr>
            <w:tcW w:w="968" w:type="pct"/>
            <w:tcBorders>
              <w:bottom w:val="single" w:sz="4" w:space="0" w:color="auto"/>
              <w:right w:val="single" w:sz="4" w:space="0" w:color="auto"/>
            </w:tcBorders>
          </w:tcPr>
          <w:p w14:paraId="36C1F8A7" w14:textId="77777777" w:rsidR="005538F4" w:rsidRPr="005F2A0F" w:rsidRDefault="005538F4" w:rsidP="001B5A8A">
            <w:pPr>
              <w:pStyle w:val="Tablebody0"/>
            </w:pPr>
            <w:r w:rsidRPr="005F2A0F">
              <w:t>Risk ratings remain the same</w:t>
            </w:r>
          </w:p>
        </w:tc>
      </w:tr>
    </w:tbl>
    <w:p w14:paraId="4F9ADB03" w14:textId="77777777" w:rsidR="005538F4" w:rsidRPr="005F2A0F" w:rsidRDefault="005538F4" w:rsidP="005538F4"/>
    <w:p w14:paraId="23A01378" w14:textId="1840A218" w:rsidR="005538F4" w:rsidRPr="005F2A0F" w:rsidRDefault="005538F4" w:rsidP="00357FE4">
      <w:pPr>
        <w:pStyle w:val="Heading218pt"/>
      </w:pPr>
      <w:r w:rsidRPr="005F2A0F">
        <w:br w:type="page"/>
      </w:r>
      <w:r w:rsidRPr="005F2A0F">
        <w:lastRenderedPageBreak/>
        <w:t xml:space="preserve">Monitoring and </w:t>
      </w:r>
      <w:r w:rsidR="00CB5F11">
        <w:t>E</w:t>
      </w:r>
      <w:r w:rsidRPr="005F2A0F">
        <w:t xml:space="preserve">valuation </w:t>
      </w:r>
      <w:r w:rsidR="00CB5F11">
        <w:t>T</w:t>
      </w:r>
      <w:r w:rsidRPr="005F2A0F">
        <w:t xml:space="preserve">emplate maturity levels above </w:t>
      </w:r>
      <w:r w:rsidR="00CB5F11">
        <w:t>b</w:t>
      </w:r>
      <w:r w:rsidRPr="005F2A0F">
        <w:t xml:space="preserve">asic </w:t>
      </w:r>
    </w:p>
    <w:p w14:paraId="4F17A2BC" w14:textId="786F83A6" w:rsidR="005538F4" w:rsidRPr="002B6A77" w:rsidRDefault="005538F4" w:rsidP="001B5A8A">
      <w:pPr>
        <w:pStyle w:val="Body0"/>
        <w:rPr>
          <w:color w:val="002664"/>
        </w:rPr>
      </w:pPr>
      <w:r w:rsidRPr="002B6A77">
        <w:rPr>
          <w:color w:val="002664"/>
        </w:rPr>
        <w:t xml:space="preserve">This </w:t>
      </w:r>
      <w:r w:rsidR="00CB5F11">
        <w:rPr>
          <w:color w:val="002664"/>
        </w:rPr>
        <w:t>M</w:t>
      </w:r>
      <w:r w:rsidRPr="002B6A77">
        <w:rPr>
          <w:color w:val="002664"/>
        </w:rPr>
        <w:t xml:space="preserve">onitoring and </w:t>
      </w:r>
      <w:r w:rsidR="00CB5F11">
        <w:rPr>
          <w:color w:val="002664"/>
        </w:rPr>
        <w:t>E</w:t>
      </w:r>
      <w:r w:rsidRPr="002B6A77">
        <w:rPr>
          <w:color w:val="002664"/>
        </w:rPr>
        <w:t xml:space="preserve">valuation </w:t>
      </w:r>
      <w:r w:rsidR="00CB5F11">
        <w:rPr>
          <w:color w:val="002664"/>
        </w:rPr>
        <w:t>P</w:t>
      </w:r>
      <w:r w:rsidRPr="002B6A77">
        <w:rPr>
          <w:color w:val="002664"/>
        </w:rPr>
        <w:t xml:space="preserve">lan has been developed to support the implementation of Council’s </w:t>
      </w:r>
      <w:r w:rsidR="00CB5F11">
        <w:rPr>
          <w:color w:val="002664"/>
        </w:rPr>
        <w:t>C</w:t>
      </w:r>
      <w:r w:rsidRPr="002B6A77">
        <w:rPr>
          <w:color w:val="002664"/>
        </w:rPr>
        <w:t xml:space="preserve">limate </w:t>
      </w:r>
      <w:r w:rsidR="00CB5F11">
        <w:rPr>
          <w:color w:val="002664"/>
        </w:rPr>
        <w:t>R</w:t>
      </w:r>
      <w:r w:rsidRPr="002B6A77">
        <w:rPr>
          <w:color w:val="002664"/>
        </w:rPr>
        <w:t xml:space="preserve">isk </w:t>
      </w:r>
      <w:r w:rsidR="00CB5F11">
        <w:rPr>
          <w:color w:val="002664"/>
        </w:rPr>
        <w:t>A</w:t>
      </w:r>
      <w:r w:rsidRPr="002B6A77">
        <w:rPr>
          <w:color w:val="002664"/>
        </w:rPr>
        <w:t xml:space="preserve">ssessment and </w:t>
      </w:r>
      <w:r w:rsidR="00CB5F11">
        <w:rPr>
          <w:color w:val="002664"/>
        </w:rPr>
        <w:t>A</w:t>
      </w:r>
      <w:r w:rsidRPr="002B6A77">
        <w:rPr>
          <w:color w:val="002664"/>
        </w:rPr>
        <w:t xml:space="preserve">daptation </w:t>
      </w:r>
      <w:r w:rsidR="00CB5F11">
        <w:rPr>
          <w:color w:val="002664"/>
        </w:rPr>
        <w:t>P</w:t>
      </w:r>
      <w:r w:rsidRPr="002B6A77">
        <w:rPr>
          <w:color w:val="002664"/>
        </w:rPr>
        <w:t xml:space="preserve">lan. Specific metrics have been identified </w:t>
      </w:r>
      <w:r w:rsidR="00CB5F11">
        <w:rPr>
          <w:color w:val="002664"/>
        </w:rPr>
        <w:t>for</w:t>
      </w:r>
      <w:r w:rsidR="00CB5F11" w:rsidRPr="002B6A77">
        <w:rPr>
          <w:color w:val="002664"/>
        </w:rPr>
        <w:t xml:space="preserve"> </w:t>
      </w:r>
      <w:r w:rsidRPr="002B6A77">
        <w:rPr>
          <w:color w:val="002664"/>
        </w:rPr>
        <w:t>monitor</w:t>
      </w:r>
      <w:r w:rsidR="00CB5F11">
        <w:rPr>
          <w:color w:val="002664"/>
        </w:rPr>
        <w:t>ing</w:t>
      </w:r>
      <w:r w:rsidRPr="002B6A77">
        <w:rPr>
          <w:color w:val="002664"/>
        </w:rPr>
        <w:t xml:space="preserve"> implementation. Progress against these metrics will be reviewed on an </w:t>
      </w:r>
      <w:r w:rsidRPr="002B6A77">
        <w:rPr>
          <w:color w:val="002664"/>
          <w:highlight w:val="yellow"/>
        </w:rPr>
        <w:t>annual basis (time period).</w:t>
      </w:r>
      <w:r w:rsidRPr="002B6A77">
        <w:rPr>
          <w:color w:val="002664"/>
        </w:rPr>
        <w:t xml:space="preserve"> Council’s </w:t>
      </w:r>
      <w:r w:rsidR="00CB5F11">
        <w:rPr>
          <w:color w:val="002664"/>
        </w:rPr>
        <w:t>C</w:t>
      </w:r>
      <w:r w:rsidRPr="002B6A77">
        <w:rPr>
          <w:color w:val="002664"/>
        </w:rPr>
        <w:t xml:space="preserve">limate </w:t>
      </w:r>
      <w:r w:rsidR="00CB5F11">
        <w:rPr>
          <w:color w:val="002664"/>
        </w:rPr>
        <w:t>R</w:t>
      </w:r>
      <w:r w:rsidRPr="002B6A77">
        <w:rPr>
          <w:color w:val="002664"/>
        </w:rPr>
        <w:t xml:space="preserve">isk </w:t>
      </w:r>
      <w:r w:rsidR="00CB5F11">
        <w:rPr>
          <w:color w:val="002664"/>
        </w:rPr>
        <w:t>A</w:t>
      </w:r>
      <w:r w:rsidRPr="002B6A77">
        <w:rPr>
          <w:color w:val="002664"/>
        </w:rPr>
        <w:t xml:space="preserve">ssessment and </w:t>
      </w:r>
      <w:r w:rsidR="00CB5F11">
        <w:rPr>
          <w:color w:val="002664"/>
        </w:rPr>
        <w:t>A</w:t>
      </w:r>
      <w:r w:rsidRPr="002B6A77">
        <w:rPr>
          <w:color w:val="002664"/>
        </w:rPr>
        <w:t xml:space="preserve">daptation </w:t>
      </w:r>
      <w:r w:rsidR="00CB5F11">
        <w:rPr>
          <w:color w:val="002664"/>
        </w:rPr>
        <w:t>P</w:t>
      </w:r>
      <w:r w:rsidRPr="002B6A77">
        <w:rPr>
          <w:color w:val="002664"/>
        </w:rPr>
        <w:t xml:space="preserve">lan will be revised every </w:t>
      </w:r>
      <w:r w:rsidRPr="002B6A77">
        <w:rPr>
          <w:color w:val="002664"/>
          <w:highlight w:val="yellow"/>
        </w:rPr>
        <w:t>5 years (lifecycle).</w:t>
      </w:r>
      <w:r w:rsidRPr="002B6A77">
        <w:rPr>
          <w:color w:val="002664"/>
        </w:rPr>
        <w:t xml:space="preserve"> </w:t>
      </w:r>
      <w:r w:rsidR="00CB5F11">
        <w:rPr>
          <w:color w:val="002664"/>
        </w:rPr>
        <w:t>T</w:t>
      </w:r>
      <w:r w:rsidRPr="002B6A77">
        <w:rPr>
          <w:color w:val="002664"/>
        </w:rPr>
        <w:t>he [Climate Change Officer</w:t>
      </w:r>
      <w:r w:rsidR="008033F5" w:rsidRPr="002B6A77">
        <w:rPr>
          <w:color w:val="002664"/>
        </w:rPr>
        <w:t>/</w:t>
      </w:r>
      <w:r w:rsidRPr="002B6A77">
        <w:rPr>
          <w:color w:val="002664"/>
        </w:rPr>
        <w:t>Sustainability Manager</w:t>
      </w:r>
      <w:r w:rsidR="008033F5" w:rsidRPr="002B6A77">
        <w:rPr>
          <w:color w:val="002664"/>
        </w:rPr>
        <w:t>/</w:t>
      </w:r>
      <w:r w:rsidRPr="002B6A77">
        <w:rPr>
          <w:color w:val="002664"/>
        </w:rPr>
        <w:t>Corporate Risk Manager</w:t>
      </w:r>
      <w:r w:rsidR="008033F5" w:rsidRPr="002B6A77">
        <w:rPr>
          <w:color w:val="002664"/>
        </w:rPr>
        <w:t>/</w:t>
      </w:r>
      <w:r w:rsidRPr="002B6A77">
        <w:rPr>
          <w:color w:val="002664"/>
        </w:rPr>
        <w:t>other]</w:t>
      </w:r>
      <w:r w:rsidR="00CB5F11">
        <w:rPr>
          <w:color w:val="002664"/>
        </w:rPr>
        <w:t xml:space="preserve"> is</w:t>
      </w:r>
      <w:r w:rsidRPr="002B6A77">
        <w:rPr>
          <w:color w:val="002664"/>
        </w:rPr>
        <w:t xml:space="preserve"> responsib</w:t>
      </w:r>
      <w:r w:rsidR="00CB5F11">
        <w:rPr>
          <w:color w:val="002664"/>
        </w:rPr>
        <w:t>le for</w:t>
      </w:r>
      <w:r w:rsidRPr="002B6A77">
        <w:rPr>
          <w:color w:val="002664"/>
        </w:rPr>
        <w:t xml:space="preserve"> lead</w:t>
      </w:r>
      <w:r w:rsidR="00CB5F11">
        <w:rPr>
          <w:color w:val="002664"/>
        </w:rPr>
        <w:t>ing</w:t>
      </w:r>
      <w:r w:rsidRPr="002B6A77">
        <w:rPr>
          <w:color w:val="002664"/>
        </w:rPr>
        <w:t xml:space="preserve"> monitoring and evaluation</w:t>
      </w:r>
      <w:r w:rsidR="00CB5F11">
        <w:rPr>
          <w:color w:val="002664"/>
        </w:rPr>
        <w:t>,</w:t>
      </w:r>
      <w:r w:rsidRPr="002B6A77">
        <w:rPr>
          <w:color w:val="002664"/>
        </w:rPr>
        <w:t xml:space="preserve"> and report</w:t>
      </w:r>
      <w:r w:rsidR="00CB5F11">
        <w:rPr>
          <w:color w:val="002664"/>
        </w:rPr>
        <w:t>ing</w:t>
      </w:r>
      <w:r w:rsidRPr="002B6A77">
        <w:rPr>
          <w:color w:val="002664"/>
        </w:rPr>
        <w:t xml:space="preserve"> progr</w:t>
      </w:r>
      <w:r w:rsidR="008033F5" w:rsidRPr="002B6A77">
        <w:rPr>
          <w:color w:val="002664"/>
        </w:rPr>
        <w:t>ess annually.</w:t>
      </w:r>
    </w:p>
    <w:p w14:paraId="58CAE35B" w14:textId="77777777" w:rsidR="005538F4" w:rsidRDefault="005538F4" w:rsidP="00357FE4">
      <w:pPr>
        <w:pStyle w:val="Heading314pt"/>
      </w:pPr>
      <w:r w:rsidRPr="005F2A0F">
        <w:t xml:space="preserve">Outcomes </w:t>
      </w:r>
    </w:p>
    <w:tbl>
      <w:tblPr>
        <w:tblStyle w:val="NSW-DPIEExplanatoryText"/>
        <w:tblW w:w="0" w:type="auto"/>
        <w:tblLook w:val="04A0" w:firstRow="1" w:lastRow="0" w:firstColumn="1" w:lastColumn="0" w:noHBand="0" w:noVBand="1"/>
      </w:tblPr>
      <w:tblGrid>
        <w:gridCol w:w="9628"/>
      </w:tblGrid>
      <w:tr w:rsidR="0000109B" w14:paraId="3E50019E" w14:textId="77777777" w:rsidTr="006C6217">
        <w:tc>
          <w:tcPr>
            <w:tcW w:w="9628" w:type="dxa"/>
          </w:tcPr>
          <w:p w14:paraId="26540308" w14:textId="33E530F4" w:rsidR="00E92314" w:rsidRPr="005F2A0F" w:rsidRDefault="00E92314" w:rsidP="001B5A8A">
            <w:pPr>
              <w:pStyle w:val="Body0"/>
            </w:pPr>
            <w:r w:rsidRPr="005F2A0F">
              <w:t xml:space="preserve">Example outcomes aligned to each maturity level </w:t>
            </w:r>
            <w:r w:rsidR="00CB5F11">
              <w:t>are</w:t>
            </w:r>
            <w:r w:rsidRPr="005F2A0F">
              <w:t xml:space="preserve"> provided below. Outcomes should integrate and build upon lower levels of maturity</w:t>
            </w:r>
            <w:r w:rsidR="00CB5F11">
              <w:t>,</w:t>
            </w:r>
            <w:r w:rsidRPr="005F2A0F">
              <w:t xml:space="preserve"> as needed. Council may also wish to adopt objectives relating to maturity levels beyond </w:t>
            </w:r>
            <w:r w:rsidR="00CB5F11">
              <w:t>its</w:t>
            </w:r>
            <w:r w:rsidR="00CB5F11" w:rsidRPr="005F2A0F">
              <w:t xml:space="preserve"> </w:t>
            </w:r>
            <w:r w:rsidRPr="005F2A0F">
              <w:t>current stage of maturity to support growth or recogni</w:t>
            </w:r>
            <w:r w:rsidR="00CB5F11">
              <w:t>s</w:t>
            </w:r>
            <w:r w:rsidRPr="005F2A0F">
              <w:t>e areas where Council</w:t>
            </w:r>
            <w:r w:rsidR="008033F5">
              <w:t xml:space="preserve"> demonstrates greater maturity.</w:t>
            </w:r>
          </w:p>
          <w:p w14:paraId="0005112B" w14:textId="251BA4DD" w:rsidR="00E92314" w:rsidRPr="005F2A0F" w:rsidRDefault="00E92314" w:rsidP="001B5A8A">
            <w:pPr>
              <w:pStyle w:val="Body0"/>
            </w:pPr>
            <w:r w:rsidRPr="005F2A0F">
              <w:t xml:space="preserve">Two examples of how </w:t>
            </w:r>
            <w:r w:rsidR="00CB5F11">
              <w:t>o</w:t>
            </w:r>
            <w:r w:rsidRPr="005F2A0F">
              <w:t xml:space="preserve">utcomes included in the </w:t>
            </w:r>
            <w:r w:rsidR="00CB5F11">
              <w:t>M</w:t>
            </w:r>
            <w:r w:rsidRPr="005F2A0F">
              <w:t xml:space="preserve">onitoring and </w:t>
            </w:r>
            <w:r w:rsidR="00CB5F11">
              <w:t>E</w:t>
            </w:r>
            <w:r w:rsidRPr="005F2A0F">
              <w:t xml:space="preserve">valuation </w:t>
            </w:r>
            <w:r w:rsidR="00CB5F11">
              <w:t>P</w:t>
            </w:r>
            <w:r w:rsidRPr="005F2A0F">
              <w:t xml:space="preserve">lan may integrate and build upon lower levels of maturity for the maturity levels of </w:t>
            </w:r>
            <w:r w:rsidR="00CB5F11">
              <w:t>‘r</w:t>
            </w:r>
            <w:r w:rsidRPr="005F2A0F">
              <w:t>epeatable</w:t>
            </w:r>
            <w:r w:rsidR="00CB5F11">
              <w:t>’</w:t>
            </w:r>
            <w:r w:rsidRPr="005F2A0F">
              <w:t xml:space="preserve"> and </w:t>
            </w:r>
            <w:r w:rsidR="00CB5F11">
              <w:t>‘s</w:t>
            </w:r>
            <w:r w:rsidR="008033F5">
              <w:t>ystematic</w:t>
            </w:r>
            <w:r w:rsidR="00CB5F11">
              <w:t>’</w:t>
            </w:r>
            <w:r w:rsidR="008033F5">
              <w:t xml:space="preserve"> are provided below.</w:t>
            </w:r>
          </w:p>
          <w:p w14:paraId="56957255" w14:textId="690C37E9" w:rsidR="0000109B" w:rsidRDefault="00E92314" w:rsidP="001B5A8A">
            <w:pPr>
              <w:pStyle w:val="BodyBlueBox-nospaceafter"/>
            </w:pPr>
            <w:r w:rsidRPr="005F2A0F">
              <w:t>Maturity levels are as described in th</w:t>
            </w:r>
            <w:r w:rsidRPr="00FA37DD">
              <w:t xml:space="preserve">e </w:t>
            </w:r>
            <w:r w:rsidR="00EB6891">
              <w:t xml:space="preserve">NSW </w:t>
            </w:r>
            <w:hyperlink r:id="rId16" w:history="1">
              <w:r w:rsidR="00EB6891" w:rsidRPr="00DE4799">
                <w:rPr>
                  <w:rStyle w:val="Hyperlink"/>
                </w:rPr>
                <w:t>L</w:t>
              </w:r>
              <w:r w:rsidR="00B81776" w:rsidRPr="00DE4799">
                <w:rPr>
                  <w:rStyle w:val="Hyperlink"/>
                </w:rPr>
                <w:t xml:space="preserve">ocal </w:t>
              </w:r>
              <w:r w:rsidR="00EB6891" w:rsidRPr="00DE4799">
                <w:rPr>
                  <w:rStyle w:val="Hyperlink"/>
                </w:rPr>
                <w:t>G</w:t>
              </w:r>
              <w:r w:rsidR="00B81776" w:rsidRPr="00DE4799">
                <w:rPr>
                  <w:rStyle w:val="Hyperlink"/>
                </w:rPr>
                <w:t>overnment</w:t>
              </w:r>
              <w:r w:rsidR="00EB6891" w:rsidRPr="00DE4799">
                <w:rPr>
                  <w:rStyle w:val="Hyperlink"/>
                </w:rPr>
                <w:t xml:space="preserve"> </w:t>
              </w:r>
              <w:r w:rsidR="00C97776" w:rsidRPr="00DE4799">
                <w:rPr>
                  <w:rStyle w:val="Hyperlink"/>
                </w:rPr>
                <w:t>Climate Readiness</w:t>
              </w:r>
              <w:r w:rsidRPr="00DE4799">
                <w:rPr>
                  <w:rStyle w:val="Hyperlink"/>
                </w:rPr>
                <w:t xml:space="preserve"> Tool</w:t>
              </w:r>
            </w:hyperlink>
            <w:r w:rsidRPr="00FA37DD">
              <w:t xml:space="preserve"> </w:t>
            </w:r>
            <w:r w:rsidR="00FA37DD">
              <w:t>(</w:t>
            </w:r>
            <w:r w:rsidRPr="00FA37DD">
              <w:t>Definitions table 1a: Climate risk maturity levels</w:t>
            </w:r>
            <w:r w:rsidR="00FA37DD">
              <w:t>)</w:t>
            </w:r>
            <w:r w:rsidRPr="00FA37DD">
              <w:t>.</w:t>
            </w:r>
          </w:p>
        </w:tc>
      </w:tr>
    </w:tbl>
    <w:p w14:paraId="626E3CE6" w14:textId="2F2C750C" w:rsidR="005538F4" w:rsidRPr="005F2A0F" w:rsidRDefault="008D1298" w:rsidP="00357FE4">
      <w:pPr>
        <w:pStyle w:val="Heading3-spaceaftertable"/>
      </w:pPr>
      <w:r>
        <w:t xml:space="preserve">Example outcomes – </w:t>
      </w:r>
      <w:r w:rsidR="00CB5F11">
        <w:t>r</w:t>
      </w:r>
      <w:r>
        <w:t>epeatable</w:t>
      </w:r>
    </w:p>
    <w:p w14:paraId="3A233BE4" w14:textId="0EA72DF5" w:rsidR="005538F4" w:rsidRPr="005F2A0F" w:rsidRDefault="005538F4" w:rsidP="001B5A8A">
      <w:pPr>
        <w:pStyle w:val="BulletLead11pt"/>
      </w:pPr>
      <w:r w:rsidRPr="005F2A0F">
        <w:t xml:space="preserve">Council’s desired outcomes from implementation of the </w:t>
      </w:r>
      <w:r w:rsidR="00CB5F11">
        <w:t>C</w:t>
      </w:r>
      <w:r w:rsidRPr="005F2A0F">
        <w:t xml:space="preserve">limate </w:t>
      </w:r>
      <w:r w:rsidR="00CB5F11">
        <w:t>R</w:t>
      </w:r>
      <w:r w:rsidRPr="005F2A0F">
        <w:t xml:space="preserve">isk </w:t>
      </w:r>
      <w:r w:rsidR="00CB5F11">
        <w:t>A</w:t>
      </w:r>
      <w:r w:rsidRPr="005F2A0F">
        <w:t>ssessme</w:t>
      </w:r>
      <w:r w:rsidR="008033F5">
        <w:t xml:space="preserve">nt and </w:t>
      </w:r>
      <w:r w:rsidR="00CB5F11">
        <w:t>A</w:t>
      </w:r>
      <w:r w:rsidR="008033F5">
        <w:t xml:space="preserve">daptation </w:t>
      </w:r>
      <w:r w:rsidR="00CB5F11">
        <w:t>P</w:t>
      </w:r>
      <w:r w:rsidR="008033F5">
        <w:t>lan include</w:t>
      </w:r>
      <w:r w:rsidR="00CB5F11">
        <w:t xml:space="preserve"> the following.</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7655"/>
        <w:gridCol w:w="1984"/>
      </w:tblGrid>
      <w:tr w:rsidR="00CB5F11" w:rsidRPr="00304261" w14:paraId="5D591582" w14:textId="77777777" w:rsidTr="006C7845">
        <w:tc>
          <w:tcPr>
            <w:tcW w:w="7655" w:type="dxa"/>
            <w:shd w:val="clear" w:color="auto" w:fill="auto"/>
            <w:tcMar>
              <w:left w:w="0" w:type="dxa"/>
            </w:tcMar>
          </w:tcPr>
          <w:p w14:paraId="4A70318E" w14:textId="5BEC3429" w:rsidR="00CB5F11" w:rsidRPr="00304261" w:rsidRDefault="00CB5F11" w:rsidP="00CB5F11">
            <w:pPr>
              <w:pStyle w:val="Bullet1"/>
              <w:numPr>
                <w:ilvl w:val="0"/>
                <w:numId w:val="0"/>
              </w:numPr>
              <w:ind w:left="357"/>
              <w:rPr>
                <w:b/>
                <w:bCs/>
              </w:rPr>
            </w:pPr>
            <w:r w:rsidRPr="00304261">
              <w:rPr>
                <w:b/>
                <w:bCs/>
              </w:rPr>
              <w:t>Out</w:t>
            </w:r>
            <w:r w:rsidR="009A2766">
              <w:rPr>
                <w:b/>
                <w:bCs/>
              </w:rPr>
              <w:t>c</w:t>
            </w:r>
            <w:r w:rsidRPr="00304261">
              <w:rPr>
                <w:b/>
                <w:bCs/>
              </w:rPr>
              <w:t>ome</w:t>
            </w:r>
          </w:p>
        </w:tc>
        <w:tc>
          <w:tcPr>
            <w:tcW w:w="1984" w:type="dxa"/>
            <w:shd w:val="clear" w:color="auto" w:fill="auto"/>
            <w:tcMar>
              <w:left w:w="170" w:type="dxa"/>
            </w:tcMar>
          </w:tcPr>
          <w:p w14:paraId="4D29F2EC" w14:textId="6A3BA7D1" w:rsidR="00CB5F11" w:rsidRPr="00304261" w:rsidRDefault="00304261" w:rsidP="008D1298">
            <w:pPr>
              <w:pStyle w:val="BodyBold"/>
              <w:rPr>
                <w:b/>
                <w:bCs/>
              </w:rPr>
            </w:pPr>
            <w:r w:rsidRPr="00304261">
              <w:rPr>
                <w:b/>
                <w:bCs/>
              </w:rPr>
              <w:t>Maturity level</w:t>
            </w:r>
          </w:p>
        </w:tc>
      </w:tr>
      <w:tr w:rsidR="005538F4" w:rsidRPr="005F2A0F" w14:paraId="1C66391A" w14:textId="77777777" w:rsidTr="006C7845">
        <w:tc>
          <w:tcPr>
            <w:tcW w:w="7655" w:type="dxa"/>
            <w:shd w:val="clear" w:color="auto" w:fill="auto"/>
            <w:tcMar>
              <w:left w:w="0" w:type="dxa"/>
            </w:tcMar>
          </w:tcPr>
          <w:p w14:paraId="74BD68BA" w14:textId="4C673366" w:rsidR="005538F4" w:rsidRPr="005F2A0F" w:rsidRDefault="005538F4" w:rsidP="001B5A8A">
            <w:pPr>
              <w:pStyle w:val="Bullet1"/>
            </w:pPr>
            <w:r w:rsidRPr="005F2A0F">
              <w:t>Climate risk assessment team has been identified</w:t>
            </w:r>
            <w:r w:rsidR="00304261">
              <w:t>;</w:t>
            </w:r>
            <w:r w:rsidRPr="005F2A0F">
              <w:t xml:space="preserve"> scope </w:t>
            </w:r>
            <w:r w:rsidR="00304261">
              <w:t xml:space="preserve">has been agreed </w:t>
            </w:r>
            <w:r w:rsidRPr="005F2A0F">
              <w:t xml:space="preserve">for initial climate risk assessment for </w:t>
            </w:r>
            <w:r w:rsidR="00304261">
              <w:t>C</w:t>
            </w:r>
            <w:r w:rsidRPr="005F2A0F">
              <w:t>ouncil operations, assets and services</w:t>
            </w:r>
            <w:r w:rsidR="00304261">
              <w:t xml:space="preserve">; </w:t>
            </w:r>
            <w:r w:rsidRPr="005F2A0F">
              <w:t xml:space="preserve">and climate risk assessment </w:t>
            </w:r>
            <w:r w:rsidR="00304261">
              <w:t xml:space="preserve">is </w:t>
            </w:r>
            <w:r w:rsidRPr="005F2A0F">
              <w:t>complete</w:t>
            </w:r>
          </w:p>
        </w:tc>
        <w:tc>
          <w:tcPr>
            <w:tcW w:w="1984" w:type="dxa"/>
            <w:shd w:val="clear" w:color="auto" w:fill="auto"/>
            <w:tcMar>
              <w:left w:w="170" w:type="dxa"/>
            </w:tcMar>
          </w:tcPr>
          <w:p w14:paraId="21678BAD" w14:textId="77777777" w:rsidR="005538F4" w:rsidRPr="00357FE4" w:rsidRDefault="005538F4" w:rsidP="008D1298">
            <w:pPr>
              <w:pStyle w:val="BodyBold"/>
            </w:pPr>
            <w:r w:rsidRPr="00357FE4">
              <w:t>Basic</w:t>
            </w:r>
          </w:p>
        </w:tc>
      </w:tr>
      <w:tr w:rsidR="005538F4" w:rsidRPr="005F2A0F" w14:paraId="509975F9" w14:textId="77777777" w:rsidTr="0041637A">
        <w:tc>
          <w:tcPr>
            <w:tcW w:w="7655" w:type="dxa"/>
            <w:shd w:val="clear" w:color="auto" w:fill="auto"/>
            <w:tcMar>
              <w:left w:w="0" w:type="dxa"/>
            </w:tcMar>
          </w:tcPr>
          <w:p w14:paraId="18A95857" w14:textId="585FDAB8" w:rsidR="005538F4" w:rsidRPr="005F2A0F" w:rsidRDefault="005538F4" w:rsidP="001B5A8A">
            <w:pPr>
              <w:pStyle w:val="Bullet1"/>
            </w:pPr>
            <w:r w:rsidRPr="005F2A0F">
              <w:t>A climate risk register has been established for a specific major project, with risk owners identified</w:t>
            </w:r>
          </w:p>
        </w:tc>
        <w:tc>
          <w:tcPr>
            <w:tcW w:w="1984" w:type="dxa"/>
            <w:shd w:val="clear" w:color="auto" w:fill="auto"/>
            <w:tcMar>
              <w:left w:w="170" w:type="dxa"/>
            </w:tcMar>
          </w:tcPr>
          <w:p w14:paraId="33AEB66E" w14:textId="77777777" w:rsidR="005538F4" w:rsidRPr="00357FE4" w:rsidRDefault="005538F4" w:rsidP="008D1298">
            <w:pPr>
              <w:pStyle w:val="BodyBold"/>
            </w:pPr>
            <w:r w:rsidRPr="00357FE4">
              <w:t>Basic</w:t>
            </w:r>
          </w:p>
        </w:tc>
      </w:tr>
      <w:tr w:rsidR="005538F4" w:rsidRPr="005F2A0F" w14:paraId="3940BC7C" w14:textId="77777777" w:rsidTr="006C7845">
        <w:tc>
          <w:tcPr>
            <w:tcW w:w="7655" w:type="dxa"/>
            <w:shd w:val="clear" w:color="auto" w:fill="auto"/>
            <w:tcMar>
              <w:left w:w="0" w:type="dxa"/>
            </w:tcMar>
          </w:tcPr>
          <w:p w14:paraId="2A4FAD65" w14:textId="7056A619" w:rsidR="005538F4" w:rsidRPr="005F2A0F" w:rsidRDefault="005538F4" w:rsidP="001B5A8A">
            <w:pPr>
              <w:pStyle w:val="Bullet1"/>
            </w:pPr>
            <w:r w:rsidRPr="005F2A0F">
              <w:t>Existing risk assessment tools have been updated to better capture and assess physical climate risks</w:t>
            </w:r>
          </w:p>
        </w:tc>
        <w:tc>
          <w:tcPr>
            <w:tcW w:w="1984" w:type="dxa"/>
            <w:shd w:val="clear" w:color="auto" w:fill="auto"/>
            <w:tcMar>
              <w:left w:w="170" w:type="dxa"/>
            </w:tcMar>
          </w:tcPr>
          <w:p w14:paraId="4DBBD0A9" w14:textId="77777777" w:rsidR="005538F4" w:rsidRPr="00357FE4" w:rsidRDefault="005538F4" w:rsidP="008D1298">
            <w:pPr>
              <w:pStyle w:val="BodyBold"/>
            </w:pPr>
            <w:r w:rsidRPr="00357FE4">
              <w:t>Basic</w:t>
            </w:r>
          </w:p>
        </w:tc>
      </w:tr>
      <w:tr w:rsidR="005538F4" w:rsidRPr="005F2A0F" w14:paraId="2FC0ABBF" w14:textId="77777777" w:rsidTr="006C7845">
        <w:tc>
          <w:tcPr>
            <w:tcW w:w="7655" w:type="dxa"/>
            <w:shd w:val="clear" w:color="auto" w:fill="F2F2F2" w:themeFill="background1" w:themeFillShade="F2"/>
            <w:tcMar>
              <w:left w:w="0" w:type="dxa"/>
            </w:tcMar>
          </w:tcPr>
          <w:p w14:paraId="038BB9C4" w14:textId="56717963" w:rsidR="005538F4" w:rsidRPr="005F2A0F" w:rsidRDefault="005538F4" w:rsidP="001B5A8A">
            <w:pPr>
              <w:pStyle w:val="Bullet1"/>
            </w:pPr>
            <w:r w:rsidRPr="005F2A0F">
              <w:t xml:space="preserve">A policy </w:t>
            </w:r>
            <w:r w:rsidR="00304261">
              <w:t>has been drafted on</w:t>
            </w:r>
            <w:r w:rsidR="00304261" w:rsidRPr="005F2A0F">
              <w:t xml:space="preserve"> </w:t>
            </w:r>
            <w:r w:rsidRPr="005F2A0F">
              <w:t xml:space="preserve">how and when climate risk assessments are developed within </w:t>
            </w:r>
            <w:r w:rsidR="00304261">
              <w:t>C</w:t>
            </w:r>
            <w:r w:rsidRPr="005F2A0F">
              <w:t>ouncil</w:t>
            </w:r>
          </w:p>
        </w:tc>
        <w:tc>
          <w:tcPr>
            <w:tcW w:w="1984" w:type="dxa"/>
            <w:shd w:val="clear" w:color="auto" w:fill="F2F2F2" w:themeFill="background1" w:themeFillShade="F2"/>
            <w:tcMar>
              <w:left w:w="170" w:type="dxa"/>
            </w:tcMar>
          </w:tcPr>
          <w:p w14:paraId="22624A14" w14:textId="77777777" w:rsidR="005538F4" w:rsidRPr="00357FE4" w:rsidRDefault="005538F4" w:rsidP="008D1298">
            <w:pPr>
              <w:pStyle w:val="BodyBold"/>
            </w:pPr>
            <w:r w:rsidRPr="00357FE4">
              <w:t>Repeatable</w:t>
            </w:r>
          </w:p>
        </w:tc>
      </w:tr>
      <w:tr w:rsidR="005538F4" w:rsidRPr="005F2A0F" w14:paraId="2E42C190" w14:textId="77777777" w:rsidTr="006C7845">
        <w:tc>
          <w:tcPr>
            <w:tcW w:w="7655" w:type="dxa"/>
            <w:shd w:val="clear" w:color="auto" w:fill="F2F2F2" w:themeFill="background1" w:themeFillShade="F2"/>
            <w:tcMar>
              <w:left w:w="0" w:type="dxa"/>
            </w:tcMar>
          </w:tcPr>
          <w:p w14:paraId="0D8986FF" w14:textId="140CCD2E" w:rsidR="005538F4" w:rsidRPr="005F2A0F" w:rsidRDefault="005538F4" w:rsidP="001B5A8A">
            <w:pPr>
              <w:pStyle w:val="Bullet1"/>
            </w:pPr>
            <w:r w:rsidRPr="005F2A0F">
              <w:t xml:space="preserve">Triggers </w:t>
            </w:r>
            <w:r w:rsidR="00304261">
              <w:t>for</w:t>
            </w:r>
            <w:r w:rsidR="00304261" w:rsidRPr="005F2A0F">
              <w:t xml:space="preserve"> </w:t>
            </w:r>
            <w:r w:rsidRPr="005F2A0F">
              <w:t xml:space="preserve">decision making have been identified relating to the policy; broad participation </w:t>
            </w:r>
            <w:r w:rsidR="00304261" w:rsidRPr="005F2A0F">
              <w:t xml:space="preserve">has been initiated </w:t>
            </w:r>
            <w:r w:rsidRPr="005F2A0F">
              <w:t xml:space="preserve">across </w:t>
            </w:r>
            <w:r w:rsidR="00304261">
              <w:t>C</w:t>
            </w:r>
            <w:r w:rsidRPr="005F2A0F">
              <w:t>ouncil in climate risk assessment on a regular basis</w:t>
            </w:r>
          </w:p>
        </w:tc>
        <w:tc>
          <w:tcPr>
            <w:tcW w:w="1984" w:type="dxa"/>
            <w:shd w:val="clear" w:color="auto" w:fill="F2F2F2" w:themeFill="background1" w:themeFillShade="F2"/>
            <w:tcMar>
              <w:left w:w="170" w:type="dxa"/>
            </w:tcMar>
          </w:tcPr>
          <w:p w14:paraId="700C987C" w14:textId="77777777" w:rsidR="005538F4" w:rsidRPr="00357FE4" w:rsidRDefault="005538F4" w:rsidP="008D1298">
            <w:pPr>
              <w:pStyle w:val="BodyBold"/>
            </w:pPr>
            <w:r w:rsidRPr="00357FE4">
              <w:t>Repeatable</w:t>
            </w:r>
          </w:p>
        </w:tc>
      </w:tr>
      <w:tr w:rsidR="005538F4" w:rsidRPr="005F2A0F" w14:paraId="055AC81D" w14:textId="77777777" w:rsidTr="006C7845">
        <w:tc>
          <w:tcPr>
            <w:tcW w:w="7655" w:type="dxa"/>
            <w:shd w:val="clear" w:color="auto" w:fill="F2F2F2" w:themeFill="background1" w:themeFillShade="F2"/>
            <w:tcMar>
              <w:left w:w="0" w:type="dxa"/>
            </w:tcMar>
          </w:tcPr>
          <w:p w14:paraId="5208762C" w14:textId="7899F0F6" w:rsidR="005538F4" w:rsidRPr="005F2A0F" w:rsidRDefault="005538F4" w:rsidP="001B5A8A">
            <w:pPr>
              <w:pStyle w:val="Bullet1"/>
            </w:pPr>
            <w:r w:rsidRPr="005F2A0F">
              <w:t>Adaptation actions have been identified and implemented</w:t>
            </w:r>
          </w:p>
        </w:tc>
        <w:tc>
          <w:tcPr>
            <w:tcW w:w="1984" w:type="dxa"/>
            <w:shd w:val="clear" w:color="auto" w:fill="F2F2F2" w:themeFill="background1" w:themeFillShade="F2"/>
            <w:tcMar>
              <w:left w:w="170" w:type="dxa"/>
            </w:tcMar>
          </w:tcPr>
          <w:p w14:paraId="29AA4D0E" w14:textId="77777777" w:rsidR="005538F4" w:rsidRPr="00357FE4" w:rsidRDefault="005538F4" w:rsidP="008D1298">
            <w:pPr>
              <w:pStyle w:val="BodyBold"/>
            </w:pPr>
            <w:r w:rsidRPr="00357FE4">
              <w:t>Repeatable</w:t>
            </w:r>
          </w:p>
        </w:tc>
      </w:tr>
    </w:tbl>
    <w:p w14:paraId="371D0ACE" w14:textId="77777777" w:rsidR="006C7845" w:rsidRDefault="006C7845" w:rsidP="00357FE4">
      <w:pPr>
        <w:pStyle w:val="Heading3-spaceaftertable"/>
      </w:pPr>
    </w:p>
    <w:p w14:paraId="0D2083F7" w14:textId="77777777" w:rsidR="001B5A8A" w:rsidRDefault="001B5A8A">
      <w:pPr>
        <w:spacing w:after="0"/>
        <w:jc w:val="left"/>
        <w:rPr>
          <w:rFonts w:ascii="Public Sans Medium" w:eastAsiaTheme="majorEastAsia" w:hAnsi="Public Sans Medium" w:cstheme="majorBidi"/>
          <w:kern w:val="28"/>
          <w:sz w:val="28"/>
          <w:szCs w:val="40"/>
        </w:rPr>
      </w:pPr>
      <w:r>
        <w:br w:type="page"/>
      </w:r>
    </w:p>
    <w:p w14:paraId="06BBB297" w14:textId="4A282079" w:rsidR="005538F4" w:rsidRPr="005F2A0F" w:rsidRDefault="008D1298" w:rsidP="00357FE4">
      <w:pPr>
        <w:pStyle w:val="Heading3-spaceaftertable"/>
      </w:pPr>
      <w:r>
        <w:lastRenderedPageBreak/>
        <w:t xml:space="preserve">Example outcomes – </w:t>
      </w:r>
      <w:r w:rsidR="00304261">
        <w:t>s</w:t>
      </w:r>
      <w:r>
        <w:t>ystematic</w:t>
      </w:r>
    </w:p>
    <w:p w14:paraId="69BF0B37" w14:textId="0842D12C" w:rsidR="005538F4" w:rsidRPr="005F2A0F" w:rsidRDefault="005538F4" w:rsidP="001B5A8A">
      <w:pPr>
        <w:pStyle w:val="BulletLead11pt"/>
      </w:pPr>
      <w:r w:rsidRPr="005F2A0F">
        <w:t xml:space="preserve">Council’s desired outcomes from the implementation of the </w:t>
      </w:r>
      <w:r w:rsidR="00304261">
        <w:t>C</w:t>
      </w:r>
      <w:r w:rsidRPr="005F2A0F">
        <w:t xml:space="preserve">limate </w:t>
      </w:r>
      <w:r w:rsidR="00304261">
        <w:t>R</w:t>
      </w:r>
      <w:r w:rsidRPr="005F2A0F">
        <w:t xml:space="preserve">isk </w:t>
      </w:r>
      <w:r w:rsidR="00304261">
        <w:t>A</w:t>
      </w:r>
      <w:r w:rsidRPr="005F2A0F">
        <w:t xml:space="preserve">ssessment and </w:t>
      </w:r>
      <w:r w:rsidR="00304261">
        <w:t>A</w:t>
      </w:r>
      <w:r w:rsidRPr="005F2A0F">
        <w:t>daptat</w:t>
      </w:r>
      <w:r w:rsidR="008033F5">
        <w:t xml:space="preserve">ion </w:t>
      </w:r>
      <w:r w:rsidR="00304261">
        <w:t>P</w:t>
      </w:r>
      <w:r w:rsidR="008033F5">
        <w:t>lan include</w:t>
      </w:r>
      <w:r w:rsidR="00304261">
        <w:t xml:space="preserv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7655"/>
        <w:gridCol w:w="1705"/>
      </w:tblGrid>
      <w:tr w:rsidR="00304261" w:rsidRPr="00304261" w14:paraId="72C579AE" w14:textId="77777777" w:rsidTr="008D1298">
        <w:tc>
          <w:tcPr>
            <w:tcW w:w="7655" w:type="dxa"/>
          </w:tcPr>
          <w:p w14:paraId="30EE0D91" w14:textId="66FEA8B1" w:rsidR="00304261" w:rsidRPr="00304261" w:rsidRDefault="00304261" w:rsidP="00304261">
            <w:pPr>
              <w:pStyle w:val="Bullet1"/>
              <w:numPr>
                <w:ilvl w:val="0"/>
                <w:numId w:val="0"/>
              </w:numPr>
              <w:ind w:left="357"/>
              <w:rPr>
                <w:b/>
                <w:bCs/>
              </w:rPr>
            </w:pPr>
            <w:r w:rsidRPr="00304261">
              <w:rPr>
                <w:b/>
                <w:bCs/>
              </w:rPr>
              <w:t>Outcome</w:t>
            </w:r>
          </w:p>
        </w:tc>
        <w:tc>
          <w:tcPr>
            <w:tcW w:w="1705" w:type="dxa"/>
          </w:tcPr>
          <w:p w14:paraId="378B36E3" w14:textId="5916914B" w:rsidR="00304261" w:rsidRPr="00304261" w:rsidRDefault="00304261" w:rsidP="008D1298">
            <w:pPr>
              <w:pStyle w:val="BodyBold"/>
              <w:rPr>
                <w:b/>
                <w:bCs/>
              </w:rPr>
            </w:pPr>
            <w:r w:rsidRPr="00304261">
              <w:rPr>
                <w:b/>
                <w:bCs/>
              </w:rPr>
              <w:t>Maturity level</w:t>
            </w:r>
          </w:p>
        </w:tc>
      </w:tr>
      <w:tr w:rsidR="005538F4" w:rsidRPr="005F2A0F" w14:paraId="70EF7E22" w14:textId="77777777" w:rsidTr="008D1298">
        <w:tc>
          <w:tcPr>
            <w:tcW w:w="7655" w:type="dxa"/>
          </w:tcPr>
          <w:p w14:paraId="611E3E4E" w14:textId="0D641A4B" w:rsidR="005538F4" w:rsidRPr="005F2A0F" w:rsidRDefault="005538F4" w:rsidP="001B5A8A">
            <w:pPr>
              <w:pStyle w:val="Bullet1"/>
            </w:pPr>
            <w:r w:rsidRPr="005F2A0F">
              <w:t>Climate risk assessment team has been identified</w:t>
            </w:r>
            <w:r w:rsidR="00304261">
              <w:t>;</w:t>
            </w:r>
            <w:r w:rsidRPr="005F2A0F">
              <w:t xml:space="preserve"> scope </w:t>
            </w:r>
            <w:r w:rsidR="00304261">
              <w:t xml:space="preserve">has been agreed </w:t>
            </w:r>
            <w:r w:rsidRPr="005F2A0F">
              <w:t xml:space="preserve">for initial climate risk assessment for </w:t>
            </w:r>
            <w:r w:rsidR="00304261">
              <w:t>C</w:t>
            </w:r>
            <w:r w:rsidRPr="005F2A0F">
              <w:t>ouncil operations, assets and services</w:t>
            </w:r>
            <w:r w:rsidR="00304261">
              <w:t xml:space="preserve">; </w:t>
            </w:r>
            <w:r w:rsidRPr="005F2A0F">
              <w:t xml:space="preserve">and climate risk assessment </w:t>
            </w:r>
            <w:r w:rsidR="00304261">
              <w:t xml:space="preserve">is </w:t>
            </w:r>
            <w:r w:rsidRPr="005F2A0F">
              <w:t>complete</w:t>
            </w:r>
          </w:p>
        </w:tc>
        <w:tc>
          <w:tcPr>
            <w:tcW w:w="1705" w:type="dxa"/>
          </w:tcPr>
          <w:p w14:paraId="604923CE" w14:textId="77777777" w:rsidR="005538F4" w:rsidRPr="00357FE4" w:rsidRDefault="005538F4" w:rsidP="008D1298">
            <w:pPr>
              <w:pStyle w:val="BodyBold"/>
            </w:pPr>
            <w:r w:rsidRPr="00357FE4">
              <w:t>Basic</w:t>
            </w:r>
          </w:p>
        </w:tc>
      </w:tr>
      <w:tr w:rsidR="005538F4" w:rsidRPr="005F2A0F" w14:paraId="3E3BE8FC" w14:textId="77777777" w:rsidTr="008D1298">
        <w:tc>
          <w:tcPr>
            <w:tcW w:w="7655" w:type="dxa"/>
            <w:shd w:val="clear" w:color="auto" w:fill="F2F2F2" w:themeFill="background1" w:themeFillShade="F2"/>
          </w:tcPr>
          <w:p w14:paraId="2EC6D890" w14:textId="0C620DE8" w:rsidR="005538F4" w:rsidRPr="005F2A0F" w:rsidRDefault="005538F4" w:rsidP="001B5A8A">
            <w:pPr>
              <w:pStyle w:val="Bullet1"/>
            </w:pPr>
            <w:r w:rsidRPr="005F2A0F">
              <w:t xml:space="preserve">A policy </w:t>
            </w:r>
            <w:r w:rsidR="00304261">
              <w:t>has been drafted on</w:t>
            </w:r>
            <w:r w:rsidRPr="005F2A0F">
              <w:t xml:space="preserve"> how and when climate risk assessments are developed withi</w:t>
            </w:r>
            <w:r w:rsidR="008D1298">
              <w:t xml:space="preserve">n </w:t>
            </w:r>
            <w:r w:rsidR="00304261">
              <w:t>C</w:t>
            </w:r>
            <w:r w:rsidR="008D1298">
              <w:t>ouncil</w:t>
            </w:r>
          </w:p>
        </w:tc>
        <w:tc>
          <w:tcPr>
            <w:tcW w:w="1705" w:type="dxa"/>
            <w:shd w:val="clear" w:color="auto" w:fill="F2F2F2" w:themeFill="background1" w:themeFillShade="F2"/>
          </w:tcPr>
          <w:p w14:paraId="1D6EC9AE" w14:textId="77777777" w:rsidR="005538F4" w:rsidRPr="00357FE4" w:rsidRDefault="005538F4" w:rsidP="008D1298">
            <w:pPr>
              <w:pStyle w:val="BodyBold"/>
            </w:pPr>
            <w:r w:rsidRPr="00357FE4">
              <w:t>Repeatable</w:t>
            </w:r>
          </w:p>
        </w:tc>
      </w:tr>
      <w:tr w:rsidR="005538F4" w:rsidRPr="005F2A0F" w14:paraId="70183551" w14:textId="77777777" w:rsidTr="008D1298">
        <w:tc>
          <w:tcPr>
            <w:tcW w:w="7655" w:type="dxa"/>
            <w:shd w:val="clear" w:color="auto" w:fill="F2F2F2" w:themeFill="background1" w:themeFillShade="F2"/>
          </w:tcPr>
          <w:p w14:paraId="1B65DE0C" w14:textId="080C8E0E" w:rsidR="005538F4" w:rsidRPr="005F2A0F" w:rsidRDefault="005538F4" w:rsidP="001B5A8A">
            <w:pPr>
              <w:pStyle w:val="Bullet1"/>
            </w:pPr>
            <w:r w:rsidRPr="005F2A0F">
              <w:t xml:space="preserve">Triggers </w:t>
            </w:r>
            <w:r w:rsidR="00304261">
              <w:t>for</w:t>
            </w:r>
            <w:r w:rsidR="00304261" w:rsidRPr="005F2A0F">
              <w:t xml:space="preserve"> </w:t>
            </w:r>
            <w:r w:rsidRPr="005F2A0F">
              <w:t xml:space="preserve">decision making have been identified relating to the policy; broad participation </w:t>
            </w:r>
            <w:r w:rsidR="00304261" w:rsidRPr="005F2A0F">
              <w:t xml:space="preserve">has been initiated </w:t>
            </w:r>
            <w:r w:rsidRPr="005F2A0F">
              <w:t xml:space="preserve">across </w:t>
            </w:r>
            <w:r w:rsidR="00304261">
              <w:t>C</w:t>
            </w:r>
            <w:r w:rsidRPr="005F2A0F">
              <w:t xml:space="preserve">ouncil in climate risk assessment on a regular basis </w:t>
            </w:r>
          </w:p>
        </w:tc>
        <w:tc>
          <w:tcPr>
            <w:tcW w:w="1705" w:type="dxa"/>
            <w:shd w:val="clear" w:color="auto" w:fill="F2F2F2" w:themeFill="background1" w:themeFillShade="F2"/>
          </w:tcPr>
          <w:p w14:paraId="2E042550" w14:textId="77777777" w:rsidR="005538F4" w:rsidRPr="00357FE4" w:rsidRDefault="005538F4" w:rsidP="008D1298">
            <w:pPr>
              <w:pStyle w:val="BodyBold"/>
            </w:pPr>
            <w:r w:rsidRPr="00357FE4">
              <w:t>Repeatable</w:t>
            </w:r>
          </w:p>
        </w:tc>
      </w:tr>
      <w:tr w:rsidR="005538F4" w:rsidRPr="005F2A0F" w14:paraId="645028A4" w14:textId="77777777" w:rsidTr="008D1298">
        <w:tc>
          <w:tcPr>
            <w:tcW w:w="7655" w:type="dxa"/>
          </w:tcPr>
          <w:p w14:paraId="6BC25AA9" w14:textId="29F20632" w:rsidR="005538F4" w:rsidRPr="005F2A0F" w:rsidRDefault="005538F4" w:rsidP="001B5A8A">
            <w:pPr>
              <w:pStyle w:val="Bullet1"/>
            </w:pPr>
            <w:r w:rsidRPr="005F2A0F">
              <w:t>Clear and disciplined climate risk management processes, compatible with corporate risk management, are established and proactively managed</w:t>
            </w:r>
            <w:r w:rsidR="00304261">
              <w:t>,</w:t>
            </w:r>
            <w:r w:rsidRPr="005F2A0F">
              <w:t xml:space="preserve"> with an annual review of </w:t>
            </w:r>
            <w:r w:rsidR="00304261">
              <w:t>implementation</w:t>
            </w:r>
            <w:r w:rsidR="00304261" w:rsidRPr="005F2A0F">
              <w:t xml:space="preserve"> </w:t>
            </w:r>
            <w:r w:rsidR="00304261">
              <w:t xml:space="preserve">of </w:t>
            </w:r>
            <w:r w:rsidRPr="005F2A0F">
              <w:t>a</w:t>
            </w:r>
            <w:r w:rsidR="0081610A">
              <w:t>daptation action</w:t>
            </w:r>
            <w:r w:rsidR="00304261">
              <w:t>s</w:t>
            </w:r>
          </w:p>
        </w:tc>
        <w:tc>
          <w:tcPr>
            <w:tcW w:w="1705" w:type="dxa"/>
          </w:tcPr>
          <w:p w14:paraId="1A1CF783" w14:textId="77777777" w:rsidR="005538F4" w:rsidRPr="00357FE4" w:rsidRDefault="005538F4" w:rsidP="008D1298">
            <w:pPr>
              <w:pStyle w:val="BodyBold"/>
            </w:pPr>
            <w:r w:rsidRPr="00357FE4">
              <w:t>Systematic</w:t>
            </w:r>
          </w:p>
        </w:tc>
      </w:tr>
      <w:tr w:rsidR="005538F4" w:rsidRPr="005F2A0F" w14:paraId="1C149684" w14:textId="77777777" w:rsidTr="008D1298">
        <w:tc>
          <w:tcPr>
            <w:tcW w:w="7655" w:type="dxa"/>
          </w:tcPr>
          <w:p w14:paraId="7234036D" w14:textId="44E4652F" w:rsidR="005538F4" w:rsidRPr="005F2A0F" w:rsidRDefault="005538F4" w:rsidP="001B5A8A">
            <w:pPr>
              <w:pStyle w:val="Bullet1"/>
            </w:pPr>
            <w:r w:rsidRPr="005F2A0F">
              <w:t>Cost</w:t>
            </w:r>
            <w:r w:rsidR="00381089">
              <w:t>–</w:t>
            </w:r>
            <w:r w:rsidRPr="005F2A0F">
              <w:t>benefit assessment of adaptation actions has been undertaken</w:t>
            </w:r>
            <w:r w:rsidR="00381089">
              <w:t>,</w:t>
            </w:r>
            <w:r w:rsidRPr="005F2A0F">
              <w:t xml:space="preserve"> and funding for adaptation actions</w:t>
            </w:r>
            <w:r w:rsidR="00381089">
              <w:t xml:space="preserve"> has been</w:t>
            </w:r>
            <w:r w:rsidRPr="005F2A0F">
              <w:t xml:space="preserve"> identified</w:t>
            </w:r>
          </w:p>
        </w:tc>
        <w:tc>
          <w:tcPr>
            <w:tcW w:w="1705" w:type="dxa"/>
          </w:tcPr>
          <w:p w14:paraId="5074635C" w14:textId="77777777" w:rsidR="005538F4" w:rsidRPr="00357FE4" w:rsidRDefault="005538F4" w:rsidP="008D1298">
            <w:pPr>
              <w:pStyle w:val="BodyBold"/>
            </w:pPr>
            <w:r w:rsidRPr="00357FE4">
              <w:t>Systematic</w:t>
            </w:r>
          </w:p>
        </w:tc>
      </w:tr>
    </w:tbl>
    <w:p w14:paraId="5CDF147A" w14:textId="3DED4330" w:rsidR="005538F4" w:rsidRDefault="005538F4" w:rsidP="00357FE4">
      <w:pPr>
        <w:pStyle w:val="Heading3-spaceaftertable"/>
      </w:pPr>
      <w:r w:rsidRPr="0041637A">
        <w:t>Menu of</w:t>
      </w:r>
      <w:r w:rsidR="008033F5" w:rsidRPr="0041637A">
        <w:t xml:space="preserve"> outcomes – all maturity levels</w:t>
      </w:r>
    </w:p>
    <w:p w14:paraId="07C5CAEA" w14:textId="090A9EAF" w:rsidR="008D1298" w:rsidRPr="005F2A0F" w:rsidRDefault="008D1298" w:rsidP="001B5A8A">
      <w:pPr>
        <w:pStyle w:val="BulletLead11pt"/>
      </w:pPr>
      <w:r w:rsidRPr="005F2A0F">
        <w:t>A menu of outcomes aligned to each maturity level</w:t>
      </w:r>
      <w:r w:rsidR="00381089">
        <w:t xml:space="preserve"> is </w:t>
      </w:r>
      <w:r w:rsidRPr="005F2A0F">
        <w:t>provided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705"/>
      </w:tblGrid>
      <w:tr w:rsidR="005538F4" w:rsidRPr="005F2A0F" w14:paraId="027AD4DA" w14:textId="77777777" w:rsidTr="00861DB5">
        <w:trPr>
          <w:trHeight w:val="368"/>
        </w:trPr>
        <w:tc>
          <w:tcPr>
            <w:tcW w:w="7655" w:type="dxa"/>
            <w:shd w:val="clear" w:color="auto" w:fill="002664"/>
          </w:tcPr>
          <w:p w14:paraId="3DAD2419" w14:textId="7776548C" w:rsidR="005538F4" w:rsidRPr="00B62A41" w:rsidRDefault="005538F4" w:rsidP="007B25E1">
            <w:pPr>
              <w:pStyle w:val="Tablecellheader"/>
            </w:pPr>
            <w:r w:rsidRPr="00B62A41">
              <w:t>Outcome</w:t>
            </w:r>
          </w:p>
        </w:tc>
        <w:tc>
          <w:tcPr>
            <w:tcW w:w="1705" w:type="dxa"/>
            <w:shd w:val="clear" w:color="auto" w:fill="002664"/>
          </w:tcPr>
          <w:p w14:paraId="364EA774" w14:textId="77777777" w:rsidR="005538F4" w:rsidRPr="00B62A41" w:rsidRDefault="005538F4" w:rsidP="007B25E1">
            <w:pPr>
              <w:pStyle w:val="Tablecellheader"/>
            </w:pPr>
            <w:r w:rsidRPr="00B62A41">
              <w:t>Maturity level</w:t>
            </w:r>
          </w:p>
        </w:tc>
      </w:tr>
      <w:tr w:rsidR="005538F4" w:rsidRPr="005F2A0F" w14:paraId="6DC51C6F" w14:textId="77777777" w:rsidTr="00BA7AA5">
        <w:tc>
          <w:tcPr>
            <w:tcW w:w="7655" w:type="dxa"/>
          </w:tcPr>
          <w:p w14:paraId="3D445C27" w14:textId="6E1206A6" w:rsidR="005538F4" w:rsidRPr="005F2A0F" w:rsidRDefault="005538F4" w:rsidP="001B5A8A">
            <w:pPr>
              <w:pStyle w:val="Bullet1"/>
            </w:pPr>
            <w:r w:rsidRPr="005F2A0F">
              <w:t>Climate risk assessment team has been identified</w:t>
            </w:r>
            <w:r w:rsidR="0041637A">
              <w:t>;</w:t>
            </w:r>
            <w:r w:rsidRPr="005F2A0F">
              <w:t xml:space="preserve"> scope</w:t>
            </w:r>
            <w:r w:rsidR="0041637A">
              <w:t xml:space="preserve"> has been agreed</w:t>
            </w:r>
            <w:r w:rsidRPr="005F2A0F">
              <w:t xml:space="preserve"> for initial climate risk assessment for </w:t>
            </w:r>
            <w:r w:rsidR="0041637A">
              <w:t>C</w:t>
            </w:r>
            <w:r w:rsidRPr="005F2A0F">
              <w:t>ouncil operations, assets and services</w:t>
            </w:r>
            <w:r w:rsidR="0041637A">
              <w:t>;</w:t>
            </w:r>
            <w:r w:rsidRPr="005F2A0F">
              <w:t xml:space="preserve"> and climate risk assessment </w:t>
            </w:r>
            <w:r w:rsidR="0041637A">
              <w:t xml:space="preserve">is </w:t>
            </w:r>
            <w:r w:rsidRPr="005F2A0F">
              <w:t>complete</w:t>
            </w:r>
          </w:p>
        </w:tc>
        <w:tc>
          <w:tcPr>
            <w:tcW w:w="1705" w:type="dxa"/>
          </w:tcPr>
          <w:p w14:paraId="02901D6A" w14:textId="77777777" w:rsidR="005538F4" w:rsidRPr="00357FE4" w:rsidRDefault="005538F4" w:rsidP="00B62A41">
            <w:pPr>
              <w:pStyle w:val="BodyBold"/>
            </w:pPr>
            <w:r w:rsidRPr="00357FE4">
              <w:t>Basic</w:t>
            </w:r>
          </w:p>
        </w:tc>
      </w:tr>
      <w:tr w:rsidR="005538F4" w:rsidRPr="005F2A0F" w14:paraId="684267CB" w14:textId="77777777" w:rsidTr="00BA7AA5">
        <w:tc>
          <w:tcPr>
            <w:tcW w:w="7655" w:type="dxa"/>
          </w:tcPr>
          <w:p w14:paraId="3DE0BF9E" w14:textId="71781A9A" w:rsidR="005538F4" w:rsidRPr="005F2A0F" w:rsidRDefault="005538F4" w:rsidP="001B5A8A">
            <w:pPr>
              <w:pStyle w:val="Bullet1"/>
            </w:pPr>
            <w:r w:rsidRPr="005F2A0F">
              <w:t>A climate risk register has been established for a specific major project, with risk owners identified</w:t>
            </w:r>
          </w:p>
        </w:tc>
        <w:tc>
          <w:tcPr>
            <w:tcW w:w="1705" w:type="dxa"/>
          </w:tcPr>
          <w:p w14:paraId="7223F387" w14:textId="77777777" w:rsidR="005538F4" w:rsidRPr="00357FE4" w:rsidRDefault="005538F4" w:rsidP="00B62A41">
            <w:pPr>
              <w:pStyle w:val="BodyBold"/>
            </w:pPr>
            <w:r w:rsidRPr="00357FE4">
              <w:t>Basic</w:t>
            </w:r>
          </w:p>
        </w:tc>
      </w:tr>
      <w:tr w:rsidR="005538F4" w:rsidRPr="005F2A0F" w14:paraId="737A3B08" w14:textId="77777777" w:rsidTr="00BA7AA5">
        <w:tc>
          <w:tcPr>
            <w:tcW w:w="7655" w:type="dxa"/>
          </w:tcPr>
          <w:p w14:paraId="5694CA5C" w14:textId="27A17BCF" w:rsidR="005538F4" w:rsidRPr="005F2A0F" w:rsidRDefault="005538F4" w:rsidP="001B5A8A">
            <w:pPr>
              <w:pStyle w:val="Bullet1"/>
            </w:pPr>
            <w:r w:rsidRPr="005F2A0F">
              <w:t>Existing risk assessment tools have been updated to better capture and assess physical climate risks</w:t>
            </w:r>
          </w:p>
        </w:tc>
        <w:tc>
          <w:tcPr>
            <w:tcW w:w="1705" w:type="dxa"/>
          </w:tcPr>
          <w:p w14:paraId="25240FAE" w14:textId="77777777" w:rsidR="005538F4" w:rsidRPr="00357FE4" w:rsidRDefault="005538F4" w:rsidP="00B62A41">
            <w:pPr>
              <w:pStyle w:val="BodyBold"/>
            </w:pPr>
            <w:r w:rsidRPr="00357FE4">
              <w:t>Basic</w:t>
            </w:r>
          </w:p>
        </w:tc>
      </w:tr>
      <w:tr w:rsidR="005538F4" w:rsidRPr="005F2A0F" w14:paraId="1C0F7FB1" w14:textId="77777777" w:rsidTr="00B62A41">
        <w:tc>
          <w:tcPr>
            <w:tcW w:w="7655" w:type="dxa"/>
          </w:tcPr>
          <w:p w14:paraId="3337A448" w14:textId="4E6D7E82" w:rsidR="005538F4" w:rsidRPr="005F2A0F" w:rsidRDefault="005538F4" w:rsidP="001B5A8A">
            <w:pPr>
              <w:pStyle w:val="Bullet1"/>
            </w:pPr>
            <w:r w:rsidRPr="005F2A0F">
              <w:t xml:space="preserve">Adaptation actions have been identified and implemented </w:t>
            </w:r>
            <w:r w:rsidR="0041637A">
              <w:t>(</w:t>
            </w:r>
            <w:r w:rsidRPr="005F2A0F">
              <w:t>where low cost</w:t>
            </w:r>
            <w:r w:rsidR="0041637A">
              <w:t>)</w:t>
            </w:r>
          </w:p>
        </w:tc>
        <w:tc>
          <w:tcPr>
            <w:tcW w:w="1705" w:type="dxa"/>
          </w:tcPr>
          <w:p w14:paraId="78A63A17" w14:textId="77777777" w:rsidR="005538F4" w:rsidRPr="00357FE4" w:rsidRDefault="005538F4" w:rsidP="00B62A41">
            <w:pPr>
              <w:pStyle w:val="BodyBold"/>
            </w:pPr>
            <w:r w:rsidRPr="00357FE4">
              <w:t>Basic</w:t>
            </w:r>
          </w:p>
        </w:tc>
      </w:tr>
      <w:tr w:rsidR="005538F4" w:rsidRPr="005F2A0F" w14:paraId="7E1400FE" w14:textId="77777777" w:rsidTr="00B62A41">
        <w:tc>
          <w:tcPr>
            <w:tcW w:w="7655" w:type="dxa"/>
            <w:shd w:val="clear" w:color="auto" w:fill="F2F2F2" w:themeFill="background1" w:themeFillShade="F2"/>
          </w:tcPr>
          <w:p w14:paraId="19A25C2E" w14:textId="26804637" w:rsidR="005538F4" w:rsidRPr="005F2A0F" w:rsidRDefault="005538F4" w:rsidP="001B5A8A">
            <w:pPr>
              <w:pStyle w:val="Bullet1"/>
            </w:pPr>
            <w:r w:rsidRPr="005F2A0F">
              <w:t xml:space="preserve">A policy </w:t>
            </w:r>
            <w:r w:rsidR="0041637A">
              <w:t>has been drafted</w:t>
            </w:r>
            <w:r w:rsidR="0041637A" w:rsidRPr="005F2A0F">
              <w:t xml:space="preserve"> </w:t>
            </w:r>
            <w:r w:rsidR="0041637A">
              <w:t>on</w:t>
            </w:r>
            <w:r w:rsidR="0041637A" w:rsidRPr="005F2A0F">
              <w:t xml:space="preserve"> </w:t>
            </w:r>
            <w:r w:rsidRPr="005F2A0F">
              <w:t>how and when climate risk assessments are developed withi</w:t>
            </w:r>
            <w:r w:rsidR="008033F5">
              <w:t xml:space="preserve">n </w:t>
            </w:r>
            <w:r w:rsidR="0041637A">
              <w:t>C</w:t>
            </w:r>
            <w:r w:rsidR="008033F5">
              <w:t xml:space="preserve">ouncil </w:t>
            </w:r>
          </w:p>
        </w:tc>
        <w:tc>
          <w:tcPr>
            <w:tcW w:w="1705" w:type="dxa"/>
            <w:shd w:val="clear" w:color="auto" w:fill="F2F2F2" w:themeFill="background1" w:themeFillShade="F2"/>
          </w:tcPr>
          <w:p w14:paraId="04B71101" w14:textId="77777777" w:rsidR="005538F4" w:rsidRPr="00357FE4" w:rsidRDefault="005538F4" w:rsidP="00B62A41">
            <w:pPr>
              <w:pStyle w:val="BodyBold"/>
            </w:pPr>
            <w:r w:rsidRPr="00357FE4">
              <w:t>Repeatable</w:t>
            </w:r>
          </w:p>
        </w:tc>
      </w:tr>
      <w:tr w:rsidR="005538F4" w:rsidRPr="005F2A0F" w14:paraId="27DDE5FC" w14:textId="77777777" w:rsidTr="00B62A41">
        <w:tc>
          <w:tcPr>
            <w:tcW w:w="7655" w:type="dxa"/>
            <w:shd w:val="clear" w:color="auto" w:fill="F2F2F2" w:themeFill="background1" w:themeFillShade="F2"/>
          </w:tcPr>
          <w:p w14:paraId="607701DD" w14:textId="6E6FC4BF" w:rsidR="005538F4" w:rsidRPr="005F2A0F" w:rsidRDefault="005538F4" w:rsidP="001B5A8A">
            <w:pPr>
              <w:pStyle w:val="Bullet1"/>
            </w:pPr>
            <w:r w:rsidRPr="005F2A0F">
              <w:t xml:space="preserve">Triggers </w:t>
            </w:r>
            <w:r w:rsidR="0041637A">
              <w:t>for</w:t>
            </w:r>
            <w:r w:rsidR="0041637A" w:rsidRPr="005F2A0F">
              <w:t xml:space="preserve"> </w:t>
            </w:r>
            <w:r w:rsidRPr="005F2A0F">
              <w:t>decision making have been identified relating to the policy; broad participation</w:t>
            </w:r>
            <w:r w:rsidR="0041637A" w:rsidRPr="005F2A0F">
              <w:t xml:space="preserve"> has been initiated</w:t>
            </w:r>
            <w:r w:rsidRPr="005F2A0F">
              <w:t xml:space="preserve"> across </w:t>
            </w:r>
            <w:r w:rsidR="0041637A">
              <w:t>C</w:t>
            </w:r>
            <w:r w:rsidRPr="005F2A0F">
              <w:t xml:space="preserve">ouncil in climate risk assessment on a regular basis </w:t>
            </w:r>
          </w:p>
        </w:tc>
        <w:tc>
          <w:tcPr>
            <w:tcW w:w="1705" w:type="dxa"/>
            <w:shd w:val="clear" w:color="auto" w:fill="F2F2F2" w:themeFill="background1" w:themeFillShade="F2"/>
          </w:tcPr>
          <w:p w14:paraId="508F6336" w14:textId="77777777" w:rsidR="005538F4" w:rsidRPr="00357FE4" w:rsidRDefault="005538F4" w:rsidP="00B62A41">
            <w:pPr>
              <w:pStyle w:val="BodyBold"/>
            </w:pPr>
            <w:r w:rsidRPr="00357FE4">
              <w:t>Repeatable</w:t>
            </w:r>
          </w:p>
        </w:tc>
      </w:tr>
      <w:tr w:rsidR="005538F4" w:rsidRPr="005F2A0F" w14:paraId="22B6D732" w14:textId="77777777" w:rsidTr="00B62A41">
        <w:tc>
          <w:tcPr>
            <w:tcW w:w="7655" w:type="dxa"/>
            <w:shd w:val="clear" w:color="auto" w:fill="F2F2F2" w:themeFill="background1" w:themeFillShade="F2"/>
          </w:tcPr>
          <w:p w14:paraId="06CCC673" w14:textId="50845500" w:rsidR="005538F4" w:rsidRPr="005F2A0F" w:rsidRDefault="005538F4" w:rsidP="001B5A8A">
            <w:pPr>
              <w:pStyle w:val="Bullet1"/>
            </w:pPr>
            <w:r w:rsidRPr="005F2A0F">
              <w:t>Adaptation actions have been identified and implemented</w:t>
            </w:r>
          </w:p>
        </w:tc>
        <w:tc>
          <w:tcPr>
            <w:tcW w:w="1705" w:type="dxa"/>
            <w:shd w:val="clear" w:color="auto" w:fill="F2F2F2" w:themeFill="background1" w:themeFillShade="F2"/>
          </w:tcPr>
          <w:p w14:paraId="78E5CB58" w14:textId="77777777" w:rsidR="005538F4" w:rsidRPr="00357FE4" w:rsidRDefault="005538F4" w:rsidP="00B62A41">
            <w:pPr>
              <w:pStyle w:val="BodyBold"/>
            </w:pPr>
            <w:r w:rsidRPr="00357FE4">
              <w:t>Repeatable</w:t>
            </w:r>
          </w:p>
        </w:tc>
      </w:tr>
      <w:tr w:rsidR="005538F4" w:rsidRPr="005F2A0F" w14:paraId="6EC07076" w14:textId="77777777" w:rsidTr="00BA7AA5">
        <w:tc>
          <w:tcPr>
            <w:tcW w:w="7655" w:type="dxa"/>
          </w:tcPr>
          <w:p w14:paraId="5B6A661D" w14:textId="17B3AEAF" w:rsidR="005538F4" w:rsidRPr="005F2A0F" w:rsidRDefault="005538F4" w:rsidP="001B5A8A">
            <w:pPr>
              <w:pStyle w:val="Bullet1"/>
            </w:pPr>
            <w:r w:rsidRPr="005F2A0F">
              <w:t>Clear and disciplined climate risk management processes, compatible with corporate risk management, are established and proactively managed</w:t>
            </w:r>
            <w:r w:rsidR="0041637A">
              <w:t>,</w:t>
            </w:r>
            <w:r w:rsidRPr="005F2A0F">
              <w:t xml:space="preserve"> with an annual review of </w:t>
            </w:r>
            <w:r w:rsidR="0041637A" w:rsidRPr="005F2A0F">
              <w:t>implementation</w:t>
            </w:r>
            <w:r w:rsidR="0041637A">
              <w:t xml:space="preserve"> of</w:t>
            </w:r>
            <w:r w:rsidR="0041637A" w:rsidRPr="005F2A0F">
              <w:t xml:space="preserve"> </w:t>
            </w:r>
            <w:r w:rsidRPr="005F2A0F">
              <w:t>adaptation action</w:t>
            </w:r>
            <w:r w:rsidR="0041637A">
              <w:t>s</w:t>
            </w:r>
          </w:p>
        </w:tc>
        <w:tc>
          <w:tcPr>
            <w:tcW w:w="1705" w:type="dxa"/>
          </w:tcPr>
          <w:p w14:paraId="1BDC5548" w14:textId="77777777" w:rsidR="005538F4" w:rsidRPr="00357FE4" w:rsidRDefault="005538F4" w:rsidP="00B62A41">
            <w:pPr>
              <w:pStyle w:val="BodyBold"/>
            </w:pPr>
            <w:r w:rsidRPr="00357FE4">
              <w:t>Systematic</w:t>
            </w:r>
          </w:p>
        </w:tc>
      </w:tr>
      <w:tr w:rsidR="005538F4" w:rsidRPr="005F2A0F" w14:paraId="72563505" w14:textId="77777777" w:rsidTr="00B62A41">
        <w:tc>
          <w:tcPr>
            <w:tcW w:w="7655" w:type="dxa"/>
          </w:tcPr>
          <w:p w14:paraId="67A75FBE" w14:textId="6341285E" w:rsidR="005538F4" w:rsidRPr="005F2A0F" w:rsidRDefault="005538F4" w:rsidP="001B5A8A">
            <w:pPr>
              <w:pStyle w:val="Bullet1"/>
            </w:pPr>
            <w:r w:rsidRPr="005F2A0F">
              <w:lastRenderedPageBreak/>
              <w:t>Cost</w:t>
            </w:r>
            <w:r w:rsidR="0041637A">
              <w:t>–</w:t>
            </w:r>
            <w:r w:rsidRPr="005F2A0F">
              <w:t>benefit assessment of adaptation actions has been undertaken</w:t>
            </w:r>
            <w:r w:rsidR="0041637A">
              <w:t>,</w:t>
            </w:r>
            <w:r w:rsidRPr="005F2A0F">
              <w:t xml:space="preserve"> and funding for adaptation actions</w:t>
            </w:r>
            <w:r w:rsidR="0041637A">
              <w:t xml:space="preserve"> has been</w:t>
            </w:r>
            <w:r w:rsidRPr="005F2A0F">
              <w:t xml:space="preserve"> identified</w:t>
            </w:r>
          </w:p>
        </w:tc>
        <w:tc>
          <w:tcPr>
            <w:tcW w:w="1705" w:type="dxa"/>
          </w:tcPr>
          <w:p w14:paraId="1B10E60D" w14:textId="77777777" w:rsidR="005538F4" w:rsidRPr="00357FE4" w:rsidRDefault="005538F4" w:rsidP="00B62A41">
            <w:pPr>
              <w:pStyle w:val="BodyBold"/>
            </w:pPr>
            <w:r w:rsidRPr="00357FE4">
              <w:t>Systematic</w:t>
            </w:r>
          </w:p>
        </w:tc>
      </w:tr>
      <w:tr w:rsidR="005538F4" w:rsidRPr="005F2A0F" w14:paraId="78F76AC5" w14:textId="77777777" w:rsidTr="00B62A41">
        <w:tc>
          <w:tcPr>
            <w:tcW w:w="7655" w:type="dxa"/>
            <w:shd w:val="clear" w:color="auto" w:fill="F2F2F2" w:themeFill="background1" w:themeFillShade="F2"/>
          </w:tcPr>
          <w:p w14:paraId="703CF8C6" w14:textId="55B69236" w:rsidR="005538F4" w:rsidRPr="005F2A0F" w:rsidRDefault="005538F4" w:rsidP="001B5A8A">
            <w:pPr>
              <w:pStyle w:val="Bullet1"/>
            </w:pPr>
            <w:r w:rsidRPr="005F2A0F">
              <w:t xml:space="preserve">A </w:t>
            </w:r>
            <w:r w:rsidR="0041637A">
              <w:t>C</w:t>
            </w:r>
            <w:r w:rsidRPr="005F2A0F">
              <w:t>ouncil-wide adaptation strategy for managing climate risks has been established, prioritising responses to exposed areas and identifying ongoing funding to support implementation of adaptation actions</w:t>
            </w:r>
          </w:p>
        </w:tc>
        <w:tc>
          <w:tcPr>
            <w:tcW w:w="1705" w:type="dxa"/>
            <w:shd w:val="clear" w:color="auto" w:fill="F2F2F2" w:themeFill="background1" w:themeFillShade="F2"/>
          </w:tcPr>
          <w:p w14:paraId="6E20BCC9" w14:textId="77777777" w:rsidR="005538F4" w:rsidRPr="00357FE4" w:rsidRDefault="005538F4" w:rsidP="00B62A41">
            <w:pPr>
              <w:pStyle w:val="BodyBold"/>
            </w:pPr>
            <w:r w:rsidRPr="00357FE4">
              <w:t>Embedded</w:t>
            </w:r>
          </w:p>
        </w:tc>
      </w:tr>
      <w:tr w:rsidR="005538F4" w:rsidRPr="005F2A0F" w14:paraId="65414442" w14:textId="77777777" w:rsidTr="00B62A41">
        <w:tc>
          <w:tcPr>
            <w:tcW w:w="7655" w:type="dxa"/>
            <w:shd w:val="clear" w:color="auto" w:fill="F2F2F2" w:themeFill="background1" w:themeFillShade="F2"/>
          </w:tcPr>
          <w:p w14:paraId="46C7FC3B" w14:textId="5457E282" w:rsidR="005538F4" w:rsidRPr="005F2A0F" w:rsidRDefault="005538F4" w:rsidP="001B5A8A">
            <w:pPr>
              <w:pStyle w:val="Bullet1"/>
            </w:pPr>
            <w:r w:rsidRPr="005F2A0F">
              <w:t xml:space="preserve">Climate risk and adaptation actions are embedded throughout the IP&amp;R framework and feature in the </w:t>
            </w:r>
            <w:r w:rsidR="00FA37DD">
              <w:t>c</w:t>
            </w:r>
            <w:r w:rsidRPr="00FA37DD">
              <w:t xml:space="preserve">ommunity </w:t>
            </w:r>
            <w:r w:rsidR="00FA37DD">
              <w:t>s</w:t>
            </w:r>
            <w:r w:rsidRPr="00FA37DD">
              <w:t xml:space="preserve">trategic </w:t>
            </w:r>
            <w:r w:rsidR="00FA37DD">
              <w:t>p</w:t>
            </w:r>
            <w:r w:rsidRPr="00FA37DD">
              <w:t>lan</w:t>
            </w:r>
          </w:p>
        </w:tc>
        <w:tc>
          <w:tcPr>
            <w:tcW w:w="1705" w:type="dxa"/>
            <w:shd w:val="clear" w:color="auto" w:fill="F2F2F2" w:themeFill="background1" w:themeFillShade="F2"/>
          </w:tcPr>
          <w:p w14:paraId="0124363C" w14:textId="77777777" w:rsidR="005538F4" w:rsidRPr="00357FE4" w:rsidRDefault="005538F4" w:rsidP="00B62A41">
            <w:pPr>
              <w:pStyle w:val="BodyBold"/>
            </w:pPr>
            <w:r w:rsidRPr="00357FE4">
              <w:t>Embedded</w:t>
            </w:r>
          </w:p>
        </w:tc>
      </w:tr>
      <w:tr w:rsidR="005538F4" w:rsidRPr="005F2A0F" w14:paraId="11FA3660" w14:textId="77777777" w:rsidTr="00B62A41">
        <w:tc>
          <w:tcPr>
            <w:tcW w:w="7655" w:type="dxa"/>
            <w:shd w:val="clear" w:color="auto" w:fill="F2F2F2" w:themeFill="background1" w:themeFillShade="F2"/>
          </w:tcPr>
          <w:p w14:paraId="13E4751E" w14:textId="09A6116D" w:rsidR="005538F4" w:rsidRPr="005F2A0F" w:rsidRDefault="005538F4" w:rsidP="001B5A8A">
            <w:pPr>
              <w:pStyle w:val="Bullet1"/>
            </w:pPr>
            <w:r w:rsidRPr="005F2A0F">
              <w:t>Engagement with the community has helped inform the climate change risk register and adaptation strategy</w:t>
            </w:r>
          </w:p>
        </w:tc>
        <w:tc>
          <w:tcPr>
            <w:tcW w:w="1705" w:type="dxa"/>
            <w:shd w:val="clear" w:color="auto" w:fill="F2F2F2" w:themeFill="background1" w:themeFillShade="F2"/>
          </w:tcPr>
          <w:p w14:paraId="3E6DB65F" w14:textId="77777777" w:rsidR="005538F4" w:rsidRPr="00357FE4" w:rsidRDefault="005538F4" w:rsidP="00B62A41">
            <w:pPr>
              <w:pStyle w:val="BodyBold"/>
            </w:pPr>
            <w:r w:rsidRPr="00357FE4">
              <w:t>Embedded</w:t>
            </w:r>
          </w:p>
        </w:tc>
      </w:tr>
      <w:tr w:rsidR="005538F4" w:rsidRPr="005F2A0F" w14:paraId="603106D5" w14:textId="77777777" w:rsidTr="00BA7AA5">
        <w:tc>
          <w:tcPr>
            <w:tcW w:w="7655" w:type="dxa"/>
          </w:tcPr>
          <w:p w14:paraId="4704CEE0" w14:textId="4A998266" w:rsidR="005538F4" w:rsidRPr="005F2A0F" w:rsidRDefault="005538F4" w:rsidP="001B5A8A">
            <w:pPr>
              <w:pStyle w:val="Bullet1"/>
            </w:pPr>
            <w:r w:rsidRPr="005F2A0F">
              <w:t>Climate change risk assessments and adaptation responses consider broader social</w:t>
            </w:r>
            <w:r w:rsidR="00E94EAC">
              <w:t>,</w:t>
            </w:r>
            <w:r w:rsidRPr="005F2A0F">
              <w:t xml:space="preserve"> economic and environmental resilience</w:t>
            </w:r>
            <w:r w:rsidR="00E94EAC">
              <w:t>;</w:t>
            </w:r>
            <w:r w:rsidRPr="005F2A0F">
              <w:t xml:space="preserve"> shared management of physical, transition and liability risk</w:t>
            </w:r>
            <w:r w:rsidR="00E94EAC">
              <w:t>;</w:t>
            </w:r>
            <w:r w:rsidRPr="005F2A0F">
              <w:t xml:space="preserve"> and interdependencies, including engagement with external stakeholders</w:t>
            </w:r>
          </w:p>
        </w:tc>
        <w:tc>
          <w:tcPr>
            <w:tcW w:w="1705" w:type="dxa"/>
          </w:tcPr>
          <w:p w14:paraId="1E814497" w14:textId="77777777" w:rsidR="005538F4" w:rsidRPr="00357FE4" w:rsidRDefault="005538F4" w:rsidP="00B62A41">
            <w:pPr>
              <w:pStyle w:val="BodyBold"/>
            </w:pPr>
            <w:r w:rsidRPr="00357FE4">
              <w:t>Advanced</w:t>
            </w:r>
          </w:p>
        </w:tc>
      </w:tr>
      <w:tr w:rsidR="005538F4" w:rsidRPr="005F2A0F" w14:paraId="1DBD8935" w14:textId="77777777" w:rsidTr="00BA7AA5">
        <w:tc>
          <w:tcPr>
            <w:tcW w:w="7655" w:type="dxa"/>
          </w:tcPr>
          <w:p w14:paraId="53DFF923" w14:textId="7D2F40AB" w:rsidR="005538F4" w:rsidRPr="005F2A0F" w:rsidRDefault="005538F4" w:rsidP="001B5A8A">
            <w:pPr>
              <w:pStyle w:val="Bullet1"/>
            </w:pPr>
            <w:r w:rsidRPr="005F2A0F">
              <w:t>Shared and interdependent risks are being actively managed</w:t>
            </w:r>
            <w:r w:rsidR="00E94EAC">
              <w:t>,</w:t>
            </w:r>
            <w:r w:rsidRPr="005F2A0F">
              <w:t xml:space="preserve"> including ongoing engagement with external stakeholders</w:t>
            </w:r>
          </w:p>
        </w:tc>
        <w:tc>
          <w:tcPr>
            <w:tcW w:w="1705" w:type="dxa"/>
          </w:tcPr>
          <w:p w14:paraId="526592CC" w14:textId="77777777" w:rsidR="005538F4" w:rsidRPr="00357FE4" w:rsidRDefault="005538F4" w:rsidP="00B62A41">
            <w:pPr>
              <w:pStyle w:val="BodyBold"/>
            </w:pPr>
            <w:r w:rsidRPr="00357FE4">
              <w:t>Advanced</w:t>
            </w:r>
          </w:p>
        </w:tc>
      </w:tr>
      <w:tr w:rsidR="005538F4" w:rsidRPr="005F2A0F" w14:paraId="59EBE575" w14:textId="77777777" w:rsidTr="00BA7AA5">
        <w:tc>
          <w:tcPr>
            <w:tcW w:w="7655" w:type="dxa"/>
          </w:tcPr>
          <w:p w14:paraId="0B457BB7" w14:textId="5607F43A" w:rsidR="005538F4" w:rsidRPr="005F2A0F" w:rsidRDefault="005538F4" w:rsidP="001B5A8A">
            <w:pPr>
              <w:pStyle w:val="Bullet1"/>
            </w:pPr>
            <w:r w:rsidRPr="005F2A0F">
              <w:t>Implementation of risk management and adaptation includes community actions</w:t>
            </w:r>
          </w:p>
        </w:tc>
        <w:tc>
          <w:tcPr>
            <w:tcW w:w="1705" w:type="dxa"/>
          </w:tcPr>
          <w:p w14:paraId="03A7DD92" w14:textId="77777777" w:rsidR="005538F4" w:rsidRPr="00357FE4" w:rsidRDefault="005538F4" w:rsidP="00B62A41">
            <w:pPr>
              <w:pStyle w:val="BodyBold"/>
            </w:pPr>
            <w:r w:rsidRPr="00357FE4">
              <w:t>Advanced</w:t>
            </w:r>
          </w:p>
        </w:tc>
      </w:tr>
      <w:tr w:rsidR="005538F4" w:rsidRPr="005F2A0F" w14:paraId="7E3CE4AB" w14:textId="77777777" w:rsidTr="00BA7AA5">
        <w:tc>
          <w:tcPr>
            <w:tcW w:w="7655" w:type="dxa"/>
          </w:tcPr>
          <w:p w14:paraId="49CE94EB" w14:textId="7E2C4F7A" w:rsidR="005538F4" w:rsidRPr="005F2A0F" w:rsidRDefault="005538F4" w:rsidP="001B5A8A">
            <w:pPr>
              <w:pStyle w:val="Bullet1"/>
            </w:pPr>
            <w:r w:rsidRPr="005F2A0F">
              <w:t>Monitoring, learning and reporting on climate risks result in continuous improvement</w:t>
            </w:r>
          </w:p>
        </w:tc>
        <w:tc>
          <w:tcPr>
            <w:tcW w:w="1705" w:type="dxa"/>
          </w:tcPr>
          <w:p w14:paraId="1533C5ED" w14:textId="77777777" w:rsidR="005538F4" w:rsidRPr="00357FE4" w:rsidRDefault="005538F4" w:rsidP="00B62A41">
            <w:pPr>
              <w:pStyle w:val="BodyBold"/>
            </w:pPr>
            <w:r w:rsidRPr="00357FE4">
              <w:t>Advanced</w:t>
            </w:r>
          </w:p>
        </w:tc>
      </w:tr>
    </w:tbl>
    <w:p w14:paraId="6174AC5D" w14:textId="6EBC4E8B" w:rsidR="005538F4" w:rsidRPr="005F2A0F" w:rsidRDefault="005538F4" w:rsidP="00357FE4">
      <w:pPr>
        <w:pStyle w:val="Heading3-spaceaftertable"/>
      </w:pPr>
      <w:r w:rsidRPr="005F2A0F">
        <w:t>Metrics and targets</w:t>
      </w:r>
    </w:p>
    <w:tbl>
      <w:tblPr>
        <w:tblStyle w:val="NSW-DPIEExplanatoryText"/>
        <w:tblW w:w="0" w:type="auto"/>
        <w:tblLook w:val="04A0" w:firstRow="1" w:lastRow="0" w:firstColumn="1" w:lastColumn="0" w:noHBand="0" w:noVBand="1"/>
      </w:tblPr>
      <w:tblGrid>
        <w:gridCol w:w="9350"/>
      </w:tblGrid>
      <w:tr w:rsidR="005538F4" w:rsidRPr="005F2A0F" w14:paraId="18A7B76E" w14:textId="77777777" w:rsidTr="00443E8C">
        <w:tc>
          <w:tcPr>
            <w:tcW w:w="9350" w:type="dxa"/>
          </w:tcPr>
          <w:p w14:paraId="54055A61" w14:textId="3E753AC1" w:rsidR="005538F4" w:rsidRPr="005F2A0F" w:rsidRDefault="005538F4" w:rsidP="001B5A8A">
            <w:pPr>
              <w:pStyle w:val="Body0"/>
            </w:pPr>
            <w:r w:rsidRPr="005F2A0F">
              <w:t xml:space="preserve">When the </w:t>
            </w:r>
            <w:r w:rsidR="00E94EAC">
              <w:t>M</w:t>
            </w:r>
            <w:r w:rsidRPr="005F2A0F">
              <w:t xml:space="preserve">onitoring and </w:t>
            </w:r>
            <w:r w:rsidR="00E94EAC">
              <w:t>E</w:t>
            </w:r>
            <w:r w:rsidRPr="005F2A0F">
              <w:t xml:space="preserve">valuation </w:t>
            </w:r>
            <w:r w:rsidR="00E94EAC">
              <w:t>P</w:t>
            </w:r>
            <w:r w:rsidRPr="005F2A0F">
              <w:t>lan is developed, Council should document the current baseline against each metric/</w:t>
            </w:r>
            <w:r w:rsidR="00EB6891" w:rsidRPr="005F2A0F">
              <w:t>target</w:t>
            </w:r>
            <w:r w:rsidR="00EB6891">
              <w:t xml:space="preserve"> and</w:t>
            </w:r>
            <w:r w:rsidRPr="005F2A0F">
              <w:t xml:space="preserve"> identify the team member</w:t>
            </w:r>
            <w:r w:rsidR="00443E8C">
              <w:t>s</w:t>
            </w:r>
            <w:r w:rsidRPr="005F2A0F">
              <w:t xml:space="preserve"> responsible for reporting on progress</w:t>
            </w:r>
            <w:r w:rsidR="00443E8C">
              <w:t xml:space="preserve"> and </w:t>
            </w:r>
            <w:r w:rsidRPr="005F2A0F">
              <w:t>for implementation. On an annual basis (at least)</w:t>
            </w:r>
            <w:r w:rsidR="00443E8C">
              <w:t>, the</w:t>
            </w:r>
            <w:r w:rsidRPr="005F2A0F">
              <w:t xml:space="preserve"> status of progress against the metric/target should be updated and evidence provided. This template can also be used to support ongoing monitoring and progress reports. Council may wish to use a simple traffic lig</w:t>
            </w:r>
            <w:r w:rsidR="00B62A41">
              <w:t>ht system to indicate progress.</w:t>
            </w:r>
          </w:p>
          <w:p w14:paraId="6C69246F" w14:textId="4638E04A" w:rsidR="005538F4" w:rsidRPr="005F2A0F" w:rsidRDefault="00443E8C" w:rsidP="001B5A8A">
            <w:pPr>
              <w:pStyle w:val="BodyBlueBox-nospaceafter"/>
            </w:pPr>
            <w:r>
              <w:t>E</w:t>
            </w:r>
            <w:r w:rsidR="005538F4" w:rsidRPr="005F2A0F">
              <w:t>vidence</w:t>
            </w:r>
            <w:r>
              <w:t xml:space="preserve"> </w:t>
            </w:r>
            <w:r w:rsidR="005538F4" w:rsidRPr="005F2A0F">
              <w:t xml:space="preserve">may be a brief summary of </w:t>
            </w:r>
            <w:r w:rsidR="00EB6891" w:rsidRPr="005F2A0F">
              <w:t>progress or</w:t>
            </w:r>
            <w:r w:rsidR="005538F4" w:rsidRPr="005F2A0F">
              <w:t xml:space="preserve"> could cross</w:t>
            </w:r>
            <w:r>
              <w:t>-</w:t>
            </w:r>
            <w:r w:rsidR="005538F4" w:rsidRPr="005F2A0F">
              <w:t xml:space="preserve">reference other documents or refer to an appendix with further detail. Council may wish to provide an extract from the risk register comprising priority risks, adaptation measures and further information on progress </w:t>
            </w:r>
            <w:r>
              <w:t xml:space="preserve">with </w:t>
            </w:r>
            <w:r w:rsidR="005538F4" w:rsidRPr="005F2A0F">
              <w:t xml:space="preserve">implementation of </w:t>
            </w:r>
            <w:r w:rsidR="00B62A41">
              <w:t>each measure.</w:t>
            </w:r>
          </w:p>
        </w:tc>
      </w:tr>
    </w:tbl>
    <w:p w14:paraId="004D5E6F" w14:textId="77777777" w:rsidR="005538F4" w:rsidRPr="005F2A0F" w:rsidRDefault="005538F4" w:rsidP="00B62A41">
      <w:pPr>
        <w:pStyle w:val="TableHeading"/>
      </w:pPr>
      <w:r w:rsidRPr="005F2A0F">
        <w:t xml:space="preserve">Key </w:t>
      </w:r>
    </w:p>
    <w:tbl>
      <w:tblPr>
        <w:tblStyle w:val="TableGrid"/>
        <w:tblW w:w="5000" w:type="pct"/>
        <w:tblLook w:val="04A0" w:firstRow="1" w:lastRow="0" w:firstColumn="1" w:lastColumn="0" w:noHBand="0" w:noVBand="1"/>
      </w:tblPr>
      <w:tblGrid>
        <w:gridCol w:w="1748"/>
        <w:gridCol w:w="1282"/>
        <w:gridCol w:w="2892"/>
        <w:gridCol w:w="222"/>
        <w:gridCol w:w="1893"/>
        <w:gridCol w:w="1591"/>
      </w:tblGrid>
      <w:tr w:rsidR="00B62A41" w:rsidRPr="005F2A0F" w14:paraId="4567C475" w14:textId="77777777" w:rsidTr="00152C11">
        <w:trPr>
          <w:tblHeader/>
        </w:trPr>
        <w:tc>
          <w:tcPr>
            <w:tcW w:w="907" w:type="pct"/>
            <w:vMerge w:val="restart"/>
            <w:tcBorders>
              <w:top w:val="single" w:sz="4" w:space="0" w:color="auto"/>
              <w:left w:val="single" w:sz="4" w:space="0" w:color="auto"/>
              <w:bottom w:val="nil"/>
              <w:right w:val="single" w:sz="4" w:space="0" w:color="FFFFFF" w:themeColor="background1"/>
            </w:tcBorders>
            <w:shd w:val="clear" w:color="auto" w:fill="002664"/>
          </w:tcPr>
          <w:p w14:paraId="332C70B6" w14:textId="77777777" w:rsidR="005538F4" w:rsidRPr="00B62A41" w:rsidRDefault="005538F4" w:rsidP="007B25E1">
            <w:pPr>
              <w:pStyle w:val="Tablecellheader"/>
            </w:pPr>
            <w:r w:rsidRPr="00B62A41">
              <w:t>Metrics and targets</w:t>
            </w:r>
          </w:p>
        </w:tc>
        <w:tc>
          <w:tcPr>
            <w:tcW w:w="666"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664"/>
          </w:tcPr>
          <w:p w14:paraId="4AECCC49" w14:textId="77777777" w:rsidR="005538F4" w:rsidRPr="00B62A41" w:rsidRDefault="005538F4" w:rsidP="007B25E1">
            <w:pPr>
              <w:pStyle w:val="Tablecellheader"/>
            </w:pPr>
            <w:r w:rsidRPr="00B62A41">
              <w:t>Baseline</w:t>
            </w:r>
          </w:p>
        </w:tc>
        <w:tc>
          <w:tcPr>
            <w:tcW w:w="1502" w:type="pct"/>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002664"/>
          </w:tcPr>
          <w:p w14:paraId="7965F065" w14:textId="430A9EA1" w:rsidR="005538F4" w:rsidRPr="00B62A41" w:rsidRDefault="00B62A41" w:rsidP="007B25E1">
            <w:pPr>
              <w:pStyle w:val="Tablecellheader"/>
            </w:pPr>
            <w:r>
              <w:t>Responsibility</w:t>
            </w:r>
          </w:p>
        </w:tc>
        <w:tc>
          <w:tcPr>
            <w:tcW w:w="1924" w:type="pct"/>
            <w:gridSpan w:val="3"/>
            <w:tcBorders>
              <w:left w:val="single" w:sz="4" w:space="0" w:color="FFFFFF" w:themeColor="background1"/>
              <w:bottom w:val="single" w:sz="4" w:space="0" w:color="FFFFFF" w:themeColor="background1"/>
            </w:tcBorders>
            <w:shd w:val="clear" w:color="auto" w:fill="002664"/>
          </w:tcPr>
          <w:p w14:paraId="56C457C3" w14:textId="77777777" w:rsidR="005538F4" w:rsidRPr="00B62A41" w:rsidRDefault="005538F4" w:rsidP="007B25E1">
            <w:pPr>
              <w:pStyle w:val="Tablecellheader"/>
              <w:jc w:val="center"/>
            </w:pPr>
            <w:r w:rsidRPr="00B62A41">
              <w:t>Year 1</w:t>
            </w:r>
          </w:p>
        </w:tc>
      </w:tr>
      <w:tr w:rsidR="00082A2E" w:rsidRPr="005F2A0F" w14:paraId="3C1A8D31" w14:textId="77777777" w:rsidTr="00152C11">
        <w:trPr>
          <w:tblHeader/>
        </w:trPr>
        <w:tc>
          <w:tcPr>
            <w:tcW w:w="907" w:type="pct"/>
            <w:vMerge/>
            <w:tcBorders>
              <w:top w:val="single" w:sz="4" w:space="0" w:color="FFFFFF" w:themeColor="background1"/>
              <w:left w:val="single" w:sz="4" w:space="0" w:color="auto"/>
              <w:bottom w:val="nil"/>
              <w:right w:val="single" w:sz="4" w:space="0" w:color="FFFFFF" w:themeColor="background1"/>
            </w:tcBorders>
            <w:shd w:val="clear" w:color="auto" w:fill="002664"/>
          </w:tcPr>
          <w:p w14:paraId="38E89692" w14:textId="77777777" w:rsidR="005538F4" w:rsidRPr="00B62A41" w:rsidRDefault="005538F4" w:rsidP="007B25E1">
            <w:pPr>
              <w:pStyle w:val="Tablecellheader"/>
            </w:pPr>
          </w:p>
        </w:tc>
        <w:tc>
          <w:tcPr>
            <w:tcW w:w="666"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002664"/>
          </w:tcPr>
          <w:p w14:paraId="4DE51F41" w14:textId="77777777" w:rsidR="005538F4" w:rsidRPr="00B62A41" w:rsidRDefault="005538F4" w:rsidP="007B25E1">
            <w:pPr>
              <w:pStyle w:val="Tablecellheader"/>
            </w:pPr>
          </w:p>
        </w:tc>
        <w:tc>
          <w:tcPr>
            <w:tcW w:w="1502"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002664"/>
          </w:tcPr>
          <w:p w14:paraId="69ECCDA3" w14:textId="77777777" w:rsidR="005538F4" w:rsidRPr="00B62A41" w:rsidRDefault="005538F4" w:rsidP="007B25E1">
            <w:pPr>
              <w:pStyle w:val="Tablecellheader"/>
            </w:pPr>
          </w:p>
        </w:tc>
        <w:tc>
          <w:tcPr>
            <w:tcW w:w="1098" w:type="pct"/>
            <w:gridSpan w:val="2"/>
            <w:tcBorders>
              <w:top w:val="single" w:sz="4" w:space="0" w:color="FFFFFF" w:themeColor="background1"/>
              <w:left w:val="single" w:sz="4" w:space="0" w:color="FFFFFF" w:themeColor="background1"/>
              <w:right w:val="single" w:sz="4" w:space="0" w:color="FFFFFF" w:themeColor="background1"/>
            </w:tcBorders>
            <w:shd w:val="clear" w:color="auto" w:fill="002664"/>
          </w:tcPr>
          <w:p w14:paraId="3C99DBED" w14:textId="77777777" w:rsidR="005538F4" w:rsidRPr="00B62A41" w:rsidRDefault="005538F4" w:rsidP="007B25E1">
            <w:pPr>
              <w:pStyle w:val="Tablecellheader"/>
            </w:pPr>
            <w:r w:rsidRPr="00B62A41">
              <w:t>Status</w:t>
            </w:r>
          </w:p>
        </w:tc>
        <w:tc>
          <w:tcPr>
            <w:tcW w:w="826" w:type="pct"/>
            <w:tcBorders>
              <w:top w:val="single" w:sz="4" w:space="0" w:color="FFFFFF" w:themeColor="background1"/>
              <w:left w:val="single" w:sz="4" w:space="0" w:color="FFFFFF" w:themeColor="background1"/>
            </w:tcBorders>
            <w:shd w:val="clear" w:color="auto" w:fill="002664"/>
          </w:tcPr>
          <w:p w14:paraId="7596FAA5" w14:textId="77777777" w:rsidR="005538F4" w:rsidRPr="00B62A41" w:rsidRDefault="005538F4" w:rsidP="007B25E1">
            <w:pPr>
              <w:pStyle w:val="Tablecellheader"/>
            </w:pPr>
            <w:r w:rsidRPr="00B62A41">
              <w:t>Evidence</w:t>
            </w:r>
          </w:p>
        </w:tc>
      </w:tr>
      <w:tr w:rsidR="00B82435" w:rsidRPr="005F2A0F" w14:paraId="7B9E3527" w14:textId="77777777" w:rsidTr="00152C11">
        <w:trPr>
          <w:trHeight w:val="412"/>
        </w:trPr>
        <w:tc>
          <w:tcPr>
            <w:tcW w:w="907" w:type="pct"/>
            <w:vMerge w:val="restart"/>
            <w:tcBorders>
              <w:top w:val="nil"/>
            </w:tcBorders>
          </w:tcPr>
          <w:p w14:paraId="61A77760" w14:textId="0F013E11" w:rsidR="00B82435" w:rsidRPr="005F2A0F" w:rsidRDefault="00B82435" w:rsidP="001B5A8A">
            <w:pPr>
              <w:pStyle w:val="Tablebody0"/>
            </w:pPr>
            <w:r w:rsidRPr="005F2A0F">
              <w:t>Suggested metric</w:t>
            </w:r>
            <w:r w:rsidR="00443E8C">
              <w:t xml:space="preserve"> or </w:t>
            </w:r>
            <w:r w:rsidRPr="005F2A0F">
              <w:t>target</w:t>
            </w:r>
          </w:p>
        </w:tc>
        <w:tc>
          <w:tcPr>
            <w:tcW w:w="666" w:type="pct"/>
            <w:vMerge w:val="restart"/>
            <w:tcBorders>
              <w:top w:val="nil"/>
            </w:tcBorders>
          </w:tcPr>
          <w:p w14:paraId="709B9143" w14:textId="3DB6DB15" w:rsidR="00B82435" w:rsidRPr="005F2A0F" w:rsidRDefault="00B82435" w:rsidP="001B5A8A">
            <w:pPr>
              <w:pStyle w:val="Tablebody0"/>
            </w:pPr>
            <w:r w:rsidRPr="005F2A0F">
              <w:t>Example of a current status</w:t>
            </w:r>
          </w:p>
        </w:tc>
        <w:tc>
          <w:tcPr>
            <w:tcW w:w="1502" w:type="pct"/>
            <w:vMerge w:val="restart"/>
            <w:tcBorders>
              <w:top w:val="nil"/>
            </w:tcBorders>
            <w:shd w:val="clear" w:color="auto" w:fill="auto"/>
          </w:tcPr>
          <w:p w14:paraId="1B20AD0E" w14:textId="0ACC8D9E" w:rsidR="00B82435" w:rsidRPr="005F2A0F" w:rsidRDefault="00B82435" w:rsidP="001B5A8A">
            <w:pPr>
              <w:pStyle w:val="Tablebody0"/>
            </w:pPr>
            <w:r w:rsidRPr="005F2A0F">
              <w:t>Team member responsible for reporting progress</w:t>
            </w:r>
            <w:r w:rsidR="008033F5">
              <w:t>/</w:t>
            </w:r>
            <w:r w:rsidRPr="005F2A0F">
              <w:t>implementation</w:t>
            </w:r>
          </w:p>
        </w:tc>
        <w:tc>
          <w:tcPr>
            <w:tcW w:w="115" w:type="pct"/>
            <w:shd w:val="clear" w:color="auto" w:fill="A8EDB3"/>
          </w:tcPr>
          <w:p w14:paraId="4F9BB359" w14:textId="77777777" w:rsidR="00B82435" w:rsidRPr="005F2A0F" w:rsidRDefault="00B82435" w:rsidP="00BA7AA5">
            <w:pPr>
              <w:rPr>
                <w:rFonts w:eastAsia="Calibri"/>
              </w:rPr>
            </w:pPr>
          </w:p>
        </w:tc>
        <w:tc>
          <w:tcPr>
            <w:tcW w:w="983" w:type="pct"/>
            <w:shd w:val="clear" w:color="auto" w:fill="auto"/>
          </w:tcPr>
          <w:p w14:paraId="5950F6D1" w14:textId="597853DA" w:rsidR="00B82435" w:rsidRPr="005F2A0F" w:rsidRDefault="00B82435" w:rsidP="00443E8C">
            <w:pPr>
              <w:pStyle w:val="Tablebody0"/>
            </w:pPr>
            <w:r w:rsidRPr="005F2A0F">
              <w:t>Complete</w:t>
            </w:r>
            <w:r w:rsidR="00443E8C">
              <w:t xml:space="preserve"> or o</w:t>
            </w:r>
            <w:r w:rsidRPr="005F2A0F">
              <w:t>n track</w:t>
            </w:r>
          </w:p>
        </w:tc>
        <w:tc>
          <w:tcPr>
            <w:tcW w:w="826" w:type="pct"/>
            <w:vMerge w:val="restart"/>
          </w:tcPr>
          <w:p w14:paraId="12199CBA" w14:textId="0DED6727" w:rsidR="00B82435" w:rsidRPr="005F2A0F" w:rsidRDefault="00B82435" w:rsidP="001B5A8A">
            <w:pPr>
              <w:pStyle w:val="Tablebody0"/>
            </w:pPr>
            <w:r w:rsidRPr="005F2A0F">
              <w:t>Brief comment on evidenc</w:t>
            </w:r>
            <w:r w:rsidR="008033F5">
              <w:t>e to support status assessment</w:t>
            </w:r>
          </w:p>
        </w:tc>
      </w:tr>
      <w:tr w:rsidR="00B82435" w:rsidRPr="005F2A0F" w14:paraId="28B840B9" w14:textId="77777777" w:rsidTr="00152C11">
        <w:trPr>
          <w:trHeight w:val="279"/>
        </w:trPr>
        <w:tc>
          <w:tcPr>
            <w:tcW w:w="907" w:type="pct"/>
            <w:vMerge/>
          </w:tcPr>
          <w:p w14:paraId="7F6A1219" w14:textId="77777777" w:rsidR="00B82435" w:rsidRPr="005F2A0F" w:rsidRDefault="00B82435" w:rsidP="00BA7AA5"/>
        </w:tc>
        <w:tc>
          <w:tcPr>
            <w:tcW w:w="666" w:type="pct"/>
            <w:vMerge/>
          </w:tcPr>
          <w:p w14:paraId="23454FE1" w14:textId="77777777" w:rsidR="00B82435" w:rsidRPr="005F2A0F" w:rsidRDefault="00B82435" w:rsidP="00BA7AA5">
            <w:pPr>
              <w:rPr>
                <w:rFonts w:eastAsia="Calibri"/>
              </w:rPr>
            </w:pPr>
          </w:p>
        </w:tc>
        <w:tc>
          <w:tcPr>
            <w:tcW w:w="1502" w:type="pct"/>
            <w:vMerge/>
            <w:shd w:val="clear" w:color="auto" w:fill="auto"/>
          </w:tcPr>
          <w:p w14:paraId="35163BE3" w14:textId="77777777" w:rsidR="00B82435" w:rsidRPr="005F2A0F" w:rsidRDefault="00B82435" w:rsidP="00BA7AA5">
            <w:pPr>
              <w:rPr>
                <w:rFonts w:eastAsia="Calibri"/>
              </w:rPr>
            </w:pPr>
          </w:p>
        </w:tc>
        <w:tc>
          <w:tcPr>
            <w:tcW w:w="115" w:type="pct"/>
            <w:shd w:val="clear" w:color="auto" w:fill="FDE79A"/>
          </w:tcPr>
          <w:p w14:paraId="31044271" w14:textId="77777777" w:rsidR="00B82435" w:rsidRPr="005F2A0F" w:rsidRDefault="00B82435" w:rsidP="00BA7AA5">
            <w:pPr>
              <w:rPr>
                <w:rFonts w:eastAsia="Calibri"/>
              </w:rPr>
            </w:pPr>
          </w:p>
        </w:tc>
        <w:tc>
          <w:tcPr>
            <w:tcW w:w="983" w:type="pct"/>
            <w:shd w:val="clear" w:color="auto" w:fill="auto"/>
          </w:tcPr>
          <w:p w14:paraId="0B75ADC3" w14:textId="77777777" w:rsidR="00B82435" w:rsidRPr="005F2A0F" w:rsidRDefault="00B82435" w:rsidP="001B5A8A">
            <w:pPr>
              <w:pStyle w:val="Tablebody0"/>
            </w:pPr>
            <w:r w:rsidRPr="005F2A0F">
              <w:t>Some progress</w:t>
            </w:r>
          </w:p>
        </w:tc>
        <w:tc>
          <w:tcPr>
            <w:tcW w:w="826" w:type="pct"/>
            <w:vMerge/>
          </w:tcPr>
          <w:p w14:paraId="3C97DAF8" w14:textId="77777777" w:rsidR="00B82435" w:rsidRPr="005F2A0F" w:rsidRDefault="00B82435" w:rsidP="00BA7AA5">
            <w:pPr>
              <w:rPr>
                <w:rFonts w:eastAsia="Calibri"/>
              </w:rPr>
            </w:pPr>
          </w:p>
        </w:tc>
      </w:tr>
      <w:tr w:rsidR="00B82435" w:rsidRPr="005F2A0F" w14:paraId="01029FF1" w14:textId="77777777" w:rsidTr="00152C11">
        <w:trPr>
          <w:trHeight w:val="535"/>
        </w:trPr>
        <w:tc>
          <w:tcPr>
            <w:tcW w:w="907" w:type="pct"/>
            <w:vMerge/>
          </w:tcPr>
          <w:p w14:paraId="3F97D0E0" w14:textId="77777777" w:rsidR="00B82435" w:rsidRPr="005F2A0F" w:rsidRDefault="00B82435" w:rsidP="00BA7AA5"/>
        </w:tc>
        <w:tc>
          <w:tcPr>
            <w:tcW w:w="666" w:type="pct"/>
            <w:vMerge/>
          </w:tcPr>
          <w:p w14:paraId="3E34E8C8" w14:textId="77777777" w:rsidR="00B82435" w:rsidRPr="005F2A0F" w:rsidRDefault="00B82435" w:rsidP="00BA7AA5">
            <w:pPr>
              <w:rPr>
                <w:rFonts w:eastAsia="Calibri"/>
              </w:rPr>
            </w:pPr>
          </w:p>
        </w:tc>
        <w:tc>
          <w:tcPr>
            <w:tcW w:w="1502" w:type="pct"/>
            <w:vMerge/>
            <w:shd w:val="clear" w:color="auto" w:fill="auto"/>
          </w:tcPr>
          <w:p w14:paraId="0ED31E78" w14:textId="77777777" w:rsidR="00B82435" w:rsidRPr="005F2A0F" w:rsidRDefault="00B82435" w:rsidP="00BA7AA5">
            <w:pPr>
              <w:rPr>
                <w:rFonts w:eastAsia="Calibri"/>
              </w:rPr>
            </w:pPr>
          </w:p>
        </w:tc>
        <w:tc>
          <w:tcPr>
            <w:tcW w:w="115" w:type="pct"/>
            <w:shd w:val="clear" w:color="auto" w:fill="FAAF05"/>
          </w:tcPr>
          <w:p w14:paraId="5444A4F4" w14:textId="77777777" w:rsidR="00B82435" w:rsidRPr="005F2A0F" w:rsidRDefault="00B82435" w:rsidP="00BA7AA5">
            <w:pPr>
              <w:rPr>
                <w:rFonts w:eastAsia="Calibri"/>
              </w:rPr>
            </w:pPr>
          </w:p>
        </w:tc>
        <w:tc>
          <w:tcPr>
            <w:tcW w:w="983" w:type="pct"/>
            <w:shd w:val="clear" w:color="auto" w:fill="auto"/>
          </w:tcPr>
          <w:p w14:paraId="687909CB" w14:textId="7835B1BA" w:rsidR="00B82435" w:rsidRPr="005F2A0F" w:rsidRDefault="00B82435" w:rsidP="001B5A8A">
            <w:pPr>
              <w:pStyle w:val="Tablebody0"/>
            </w:pPr>
            <w:r w:rsidRPr="005F2A0F">
              <w:t>Not started</w:t>
            </w:r>
            <w:r w:rsidR="00443E8C">
              <w:t xml:space="preserve">, or </w:t>
            </w:r>
            <w:r w:rsidRPr="005F2A0F">
              <w:t>stalled</w:t>
            </w:r>
          </w:p>
        </w:tc>
        <w:tc>
          <w:tcPr>
            <w:tcW w:w="826" w:type="pct"/>
            <w:vMerge/>
          </w:tcPr>
          <w:p w14:paraId="067992D5" w14:textId="77777777" w:rsidR="00B82435" w:rsidRPr="005F2A0F" w:rsidRDefault="00B82435" w:rsidP="00BA7AA5">
            <w:pPr>
              <w:rPr>
                <w:rFonts w:eastAsia="Calibri"/>
              </w:rPr>
            </w:pPr>
          </w:p>
        </w:tc>
      </w:tr>
    </w:tbl>
    <w:p w14:paraId="70F9D626" w14:textId="77777777" w:rsidR="00EC0216" w:rsidRPr="00EC0216" w:rsidRDefault="00EC0216" w:rsidP="00EC0216">
      <w:pPr>
        <w:pStyle w:val="BodyText"/>
        <w:rPr>
          <w:lang w:eastAsia="en-AU"/>
        </w:rPr>
      </w:pPr>
    </w:p>
    <w:tbl>
      <w:tblPr>
        <w:tblStyle w:val="NSW-DPIEExplanatoryText"/>
        <w:tblW w:w="9639" w:type="dxa"/>
        <w:tblLook w:val="04A0" w:firstRow="1" w:lastRow="0" w:firstColumn="1" w:lastColumn="0" w:noHBand="0" w:noVBand="1"/>
      </w:tblPr>
      <w:tblGrid>
        <w:gridCol w:w="9639"/>
      </w:tblGrid>
      <w:tr w:rsidR="005538F4" w:rsidRPr="005F2A0F" w14:paraId="6E051246" w14:textId="77777777" w:rsidTr="00443E8C">
        <w:tc>
          <w:tcPr>
            <w:tcW w:w="9639" w:type="dxa"/>
          </w:tcPr>
          <w:p w14:paraId="572D6336" w14:textId="0B7B144F" w:rsidR="005538F4" w:rsidRPr="005F2A0F" w:rsidRDefault="005538F4" w:rsidP="001B5A8A">
            <w:pPr>
              <w:pStyle w:val="Body0"/>
            </w:pPr>
            <w:r w:rsidRPr="005F2A0F">
              <w:lastRenderedPageBreak/>
              <w:t xml:space="preserve">The </w:t>
            </w:r>
            <w:r w:rsidR="006C6217">
              <w:t>tables</w:t>
            </w:r>
            <w:r w:rsidR="006C6217" w:rsidRPr="005F2A0F">
              <w:t xml:space="preserve"> </w:t>
            </w:r>
            <w:r w:rsidRPr="005F2A0F">
              <w:t xml:space="preserve">below provide examples of proposed metrics and targets for levels of maturity beyond a </w:t>
            </w:r>
            <w:r w:rsidR="00443E8C">
              <w:t>b</w:t>
            </w:r>
            <w:r w:rsidRPr="005F2A0F">
              <w:t>asic maturity level. Metrics and targets should integrate and build upon lower levels of maturity</w:t>
            </w:r>
            <w:r w:rsidR="00443E8C">
              <w:t>,</w:t>
            </w:r>
            <w:r w:rsidRPr="005F2A0F">
              <w:t xml:space="preserve"> as needed. Council may also wish to adopt metrics and targets relating to maturity levels beyond </w:t>
            </w:r>
            <w:r w:rsidR="006C6217">
              <w:t>its</w:t>
            </w:r>
            <w:r w:rsidR="006C6217" w:rsidRPr="005F2A0F">
              <w:t xml:space="preserve"> </w:t>
            </w:r>
            <w:r w:rsidRPr="005F2A0F">
              <w:t>current stage of maturity to support growth or recogni</w:t>
            </w:r>
            <w:r w:rsidR="006C6217">
              <w:t>s</w:t>
            </w:r>
            <w:r w:rsidRPr="005F2A0F">
              <w:t xml:space="preserve">e areas where Council demonstrates greater maturity. For example, a </w:t>
            </w:r>
            <w:r w:rsidR="006C6217">
              <w:t>M</w:t>
            </w:r>
            <w:r w:rsidRPr="005F2A0F">
              <w:t xml:space="preserve">onitoring and </w:t>
            </w:r>
            <w:r w:rsidR="006C6217">
              <w:t>E</w:t>
            </w:r>
            <w:r w:rsidRPr="005F2A0F">
              <w:t xml:space="preserve">valuation </w:t>
            </w:r>
            <w:r w:rsidR="006C6217">
              <w:t>P</w:t>
            </w:r>
            <w:r w:rsidRPr="005F2A0F">
              <w:t xml:space="preserve">lan reflecting a </w:t>
            </w:r>
            <w:r w:rsidR="006C6217">
              <w:t>s</w:t>
            </w:r>
            <w:r w:rsidRPr="005F2A0F">
              <w:t>ystematic level of maturity may include metrics</w:t>
            </w:r>
            <w:r w:rsidR="006C6217">
              <w:t xml:space="preserve"> and </w:t>
            </w:r>
            <w:r w:rsidRPr="005F2A0F">
              <w:t xml:space="preserve">targets from the </w:t>
            </w:r>
            <w:r w:rsidR="006C6217">
              <w:t>b</w:t>
            </w:r>
            <w:r w:rsidRPr="005F2A0F">
              <w:t xml:space="preserve">asic, </w:t>
            </w:r>
            <w:r w:rsidR="006C6217">
              <w:t>r</w:t>
            </w:r>
            <w:r w:rsidR="008033F5">
              <w:t xml:space="preserve">epeatable and </w:t>
            </w:r>
            <w:r w:rsidR="006C6217">
              <w:t>s</w:t>
            </w:r>
            <w:r w:rsidR="008033F5">
              <w:t>ystematic level</w:t>
            </w:r>
            <w:r w:rsidR="006C6217">
              <w:t>s</w:t>
            </w:r>
            <w:r w:rsidR="008033F5">
              <w:t>.</w:t>
            </w:r>
          </w:p>
          <w:p w14:paraId="61394B27" w14:textId="3B4EEBD3" w:rsidR="005538F4" w:rsidRPr="00D8632F" w:rsidRDefault="005538F4" w:rsidP="001B5A8A">
            <w:pPr>
              <w:pStyle w:val="BodyBlueBox-nospaceafter"/>
              <w:rPr>
                <w:rFonts w:eastAsia="Times New Roman"/>
              </w:rPr>
            </w:pPr>
            <w:r w:rsidRPr="005F2A0F">
              <w:t xml:space="preserve">Two examples of how </w:t>
            </w:r>
            <w:r w:rsidR="006C6217">
              <w:t>m</w:t>
            </w:r>
            <w:r w:rsidRPr="005F2A0F">
              <w:t xml:space="preserve">etrics and targets included in the </w:t>
            </w:r>
            <w:r w:rsidR="006C6217">
              <w:t>M</w:t>
            </w:r>
            <w:r w:rsidRPr="005F2A0F">
              <w:t xml:space="preserve">onitoring and </w:t>
            </w:r>
            <w:r w:rsidR="006C6217">
              <w:t>E</w:t>
            </w:r>
            <w:r w:rsidRPr="005F2A0F">
              <w:t xml:space="preserve">valuation </w:t>
            </w:r>
            <w:r w:rsidR="006C6217">
              <w:t>P</w:t>
            </w:r>
            <w:r w:rsidRPr="005F2A0F">
              <w:t xml:space="preserve">lan may integrate and build upon lower levels of maturity for the maturity levels of </w:t>
            </w:r>
            <w:r w:rsidR="006C6217">
              <w:t>r</w:t>
            </w:r>
            <w:r w:rsidRPr="005F2A0F">
              <w:t xml:space="preserve">epeatable and </w:t>
            </w:r>
            <w:r w:rsidR="006C6217">
              <w:t>s</w:t>
            </w:r>
            <w:r w:rsidRPr="005F2A0F">
              <w:t>ystematic are provided below.</w:t>
            </w:r>
          </w:p>
        </w:tc>
      </w:tr>
    </w:tbl>
    <w:p w14:paraId="539B08FB" w14:textId="5DB9D697" w:rsidR="005538F4" w:rsidRPr="005F2A0F" w:rsidRDefault="005538F4" w:rsidP="00357FE4">
      <w:pPr>
        <w:pStyle w:val="Heading3-spaceaftertable"/>
      </w:pPr>
      <w:r w:rsidRPr="005F2A0F">
        <w:t>M</w:t>
      </w:r>
      <w:r w:rsidR="00F73AD6">
        <w:t xml:space="preserve">etrics and targets – </w:t>
      </w:r>
      <w:r w:rsidR="006C6217">
        <w:t>r</w:t>
      </w:r>
      <w:r w:rsidR="00F73AD6">
        <w:t>epeatable</w:t>
      </w:r>
    </w:p>
    <w:p w14:paraId="777923C6" w14:textId="351BCE79" w:rsidR="00F73AD6" w:rsidRPr="00F73AD6" w:rsidRDefault="005538F4" w:rsidP="001B5A8A">
      <w:pPr>
        <w:pStyle w:val="Body0"/>
      </w:pPr>
      <w:r w:rsidRPr="005F2A0F">
        <w:t>Specific metrics and targets have been identified to monitor implementation. Progress against these metrics will be reviewed on an annual basis. An initial baseline has been established to measure p</w:t>
      </w:r>
      <w:r w:rsidR="008033F5">
        <w:t>rogress over time.</w:t>
      </w:r>
    </w:p>
    <w:tbl>
      <w:tblPr>
        <w:tblStyle w:val="TableGrid"/>
        <w:tblW w:w="5000" w:type="pct"/>
        <w:tblLayout w:type="fixed"/>
        <w:tblLook w:val="04A0" w:firstRow="1" w:lastRow="0" w:firstColumn="1" w:lastColumn="0" w:noHBand="0" w:noVBand="1"/>
      </w:tblPr>
      <w:tblGrid>
        <w:gridCol w:w="1966"/>
        <w:gridCol w:w="1604"/>
        <w:gridCol w:w="1560"/>
        <w:gridCol w:w="1550"/>
        <w:gridCol w:w="1550"/>
        <w:gridCol w:w="1398"/>
      </w:tblGrid>
      <w:tr w:rsidR="00F73AD6" w:rsidRPr="000C0486" w14:paraId="711AD39C" w14:textId="77777777" w:rsidTr="007B25E1">
        <w:trPr>
          <w:tblHeader/>
        </w:trPr>
        <w:tc>
          <w:tcPr>
            <w:tcW w:w="1021" w:type="pct"/>
            <w:vMerge w:val="restart"/>
            <w:tcBorders>
              <w:right w:val="single" w:sz="4" w:space="0" w:color="FFFFFF" w:themeColor="background1"/>
            </w:tcBorders>
            <w:shd w:val="clear" w:color="auto" w:fill="002664"/>
          </w:tcPr>
          <w:p w14:paraId="553E4823" w14:textId="77777777" w:rsidR="00F73AD6" w:rsidRPr="000C0486" w:rsidRDefault="00F73AD6" w:rsidP="007B25E1">
            <w:pPr>
              <w:pStyle w:val="Tablecellheader"/>
            </w:pPr>
            <w:r w:rsidRPr="000C0486">
              <w:t>Metrics and targets</w:t>
            </w:r>
          </w:p>
        </w:tc>
        <w:tc>
          <w:tcPr>
            <w:tcW w:w="833" w:type="pct"/>
            <w:vMerge w:val="restart"/>
            <w:tcBorders>
              <w:left w:val="single" w:sz="4" w:space="0" w:color="FFFFFF" w:themeColor="background1"/>
              <w:right w:val="single" w:sz="4" w:space="0" w:color="FFFFFF" w:themeColor="background1"/>
            </w:tcBorders>
            <w:shd w:val="clear" w:color="auto" w:fill="002664"/>
          </w:tcPr>
          <w:p w14:paraId="5162456C" w14:textId="77777777" w:rsidR="00F73AD6" w:rsidRPr="000C0486" w:rsidRDefault="00F73AD6" w:rsidP="007B25E1">
            <w:pPr>
              <w:pStyle w:val="Tablecellheader"/>
            </w:pPr>
            <w:r w:rsidRPr="000C0486">
              <w:t>Baseline</w:t>
            </w:r>
          </w:p>
        </w:tc>
        <w:tc>
          <w:tcPr>
            <w:tcW w:w="810" w:type="pct"/>
            <w:vMerge w:val="restart"/>
            <w:tcBorders>
              <w:left w:val="single" w:sz="4" w:space="0" w:color="FFFFFF" w:themeColor="background1"/>
              <w:right w:val="single" w:sz="4" w:space="0" w:color="FFFFFF" w:themeColor="background1"/>
            </w:tcBorders>
            <w:shd w:val="clear" w:color="auto" w:fill="002664"/>
          </w:tcPr>
          <w:p w14:paraId="420E30DA" w14:textId="77777777" w:rsidR="00F73AD6" w:rsidRPr="000C0486" w:rsidRDefault="00F73AD6" w:rsidP="007B25E1">
            <w:pPr>
              <w:pStyle w:val="Tablecellheader"/>
            </w:pPr>
            <w:r w:rsidRPr="000C0486">
              <w:t>Responsibility</w:t>
            </w:r>
          </w:p>
        </w:tc>
        <w:tc>
          <w:tcPr>
            <w:tcW w:w="161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2664"/>
          </w:tcPr>
          <w:p w14:paraId="3574F543" w14:textId="77777777" w:rsidR="00F73AD6" w:rsidRPr="000C0486" w:rsidRDefault="00F73AD6" w:rsidP="007B25E1">
            <w:pPr>
              <w:pStyle w:val="Tablecellheader"/>
              <w:jc w:val="center"/>
            </w:pPr>
            <w:r w:rsidRPr="000C0486">
              <w:t>Year 1</w:t>
            </w:r>
          </w:p>
        </w:tc>
        <w:tc>
          <w:tcPr>
            <w:tcW w:w="726" w:type="pct"/>
            <w:vMerge w:val="restart"/>
            <w:tcBorders>
              <w:left w:val="single" w:sz="4" w:space="0" w:color="FFFFFF" w:themeColor="background1"/>
              <w:bottom w:val="single" w:sz="4" w:space="0" w:color="FFFFFF" w:themeColor="background1"/>
            </w:tcBorders>
            <w:shd w:val="clear" w:color="auto" w:fill="002664"/>
          </w:tcPr>
          <w:p w14:paraId="62F1CB8D" w14:textId="77777777" w:rsidR="00F73AD6" w:rsidRPr="000C0486" w:rsidRDefault="00F73AD6" w:rsidP="007B25E1">
            <w:pPr>
              <w:pStyle w:val="Tablecellheader"/>
            </w:pPr>
            <w:r w:rsidRPr="000C0486">
              <w:t>Maturity level</w:t>
            </w:r>
          </w:p>
        </w:tc>
      </w:tr>
      <w:tr w:rsidR="00F73AD6" w:rsidRPr="005F2A0F" w14:paraId="2B1A644C" w14:textId="77777777" w:rsidTr="007B25E1">
        <w:trPr>
          <w:tblHeader/>
        </w:trPr>
        <w:tc>
          <w:tcPr>
            <w:tcW w:w="1021" w:type="pct"/>
            <w:vMerge/>
            <w:tcBorders>
              <w:top w:val="nil"/>
              <w:right w:val="single" w:sz="4" w:space="0" w:color="FFFFFF" w:themeColor="background1"/>
            </w:tcBorders>
          </w:tcPr>
          <w:p w14:paraId="2D34FD63" w14:textId="77777777" w:rsidR="00F73AD6" w:rsidRPr="005F2A0F" w:rsidRDefault="00F73AD6" w:rsidP="008C0865"/>
        </w:tc>
        <w:tc>
          <w:tcPr>
            <w:tcW w:w="833" w:type="pct"/>
            <w:vMerge/>
            <w:tcBorders>
              <w:top w:val="nil"/>
              <w:left w:val="single" w:sz="4" w:space="0" w:color="FFFFFF" w:themeColor="background1"/>
              <w:right w:val="single" w:sz="4" w:space="0" w:color="FFFFFF" w:themeColor="background1"/>
            </w:tcBorders>
          </w:tcPr>
          <w:p w14:paraId="64E9803A" w14:textId="77777777" w:rsidR="00F73AD6" w:rsidRPr="005F2A0F" w:rsidRDefault="00F73AD6" w:rsidP="008C0865"/>
        </w:tc>
        <w:tc>
          <w:tcPr>
            <w:tcW w:w="810" w:type="pct"/>
            <w:vMerge/>
            <w:tcBorders>
              <w:top w:val="single" w:sz="4" w:space="0" w:color="auto"/>
              <w:left w:val="single" w:sz="4" w:space="0" w:color="FFFFFF" w:themeColor="background1"/>
              <w:right w:val="single" w:sz="4" w:space="0" w:color="FFFFFF" w:themeColor="background1"/>
            </w:tcBorders>
          </w:tcPr>
          <w:p w14:paraId="6CE912ED" w14:textId="77777777" w:rsidR="00F73AD6" w:rsidRPr="005F2A0F" w:rsidRDefault="00F73AD6" w:rsidP="008C0865"/>
        </w:tc>
        <w:tc>
          <w:tcPr>
            <w:tcW w:w="805" w:type="pct"/>
            <w:tcBorders>
              <w:top w:val="single" w:sz="4" w:space="0" w:color="FFFFFF" w:themeColor="background1"/>
              <w:left w:val="single" w:sz="4" w:space="0" w:color="FFFFFF" w:themeColor="background1"/>
              <w:right w:val="single" w:sz="4" w:space="0" w:color="FFFFFF" w:themeColor="background1"/>
            </w:tcBorders>
            <w:shd w:val="clear" w:color="auto" w:fill="002664"/>
          </w:tcPr>
          <w:p w14:paraId="4487F07B" w14:textId="77777777" w:rsidR="00F73AD6" w:rsidRPr="000C0486" w:rsidRDefault="00F73AD6" w:rsidP="007B25E1">
            <w:pPr>
              <w:pStyle w:val="Tablecellheader"/>
            </w:pPr>
            <w:r w:rsidRPr="000C0486">
              <w:t>Status</w:t>
            </w:r>
          </w:p>
        </w:tc>
        <w:tc>
          <w:tcPr>
            <w:tcW w:w="805" w:type="pct"/>
            <w:tcBorders>
              <w:top w:val="single" w:sz="4" w:space="0" w:color="FFFFFF" w:themeColor="background1"/>
              <w:left w:val="single" w:sz="4" w:space="0" w:color="FFFFFF" w:themeColor="background1"/>
              <w:right w:val="single" w:sz="4" w:space="0" w:color="FFFFFF" w:themeColor="background1"/>
            </w:tcBorders>
            <w:shd w:val="clear" w:color="auto" w:fill="002664"/>
          </w:tcPr>
          <w:p w14:paraId="2E216531" w14:textId="77777777" w:rsidR="00F73AD6" w:rsidRPr="000C0486" w:rsidRDefault="00F73AD6" w:rsidP="007B25E1">
            <w:pPr>
              <w:pStyle w:val="Tablecellheader"/>
            </w:pPr>
            <w:r w:rsidRPr="000C0486">
              <w:t>Evidence</w:t>
            </w:r>
          </w:p>
        </w:tc>
        <w:tc>
          <w:tcPr>
            <w:tcW w:w="726" w:type="pct"/>
            <w:vMerge/>
            <w:tcBorders>
              <w:top w:val="single" w:sz="4" w:space="0" w:color="FFFFFF" w:themeColor="background1"/>
              <w:left w:val="single" w:sz="4" w:space="0" w:color="FFFFFF" w:themeColor="background1"/>
            </w:tcBorders>
          </w:tcPr>
          <w:p w14:paraId="5233DFB8" w14:textId="77777777" w:rsidR="00F73AD6" w:rsidRPr="005F2A0F" w:rsidRDefault="00F73AD6" w:rsidP="008C0865"/>
        </w:tc>
      </w:tr>
      <w:tr w:rsidR="00F73AD6" w:rsidRPr="005F2A0F" w14:paraId="58C3AB73" w14:textId="77777777" w:rsidTr="00F73AD6">
        <w:tc>
          <w:tcPr>
            <w:tcW w:w="1021" w:type="pct"/>
          </w:tcPr>
          <w:p w14:paraId="2E8671E8" w14:textId="613195AD" w:rsidR="00F73AD6" w:rsidRPr="005F2A0F" w:rsidRDefault="00F73AD6" w:rsidP="001B5A8A">
            <w:pPr>
              <w:pStyle w:val="Tablebody0"/>
            </w:pPr>
            <w:r w:rsidRPr="00B5786C">
              <w:t>Current climate risk management maturity has been assessed</w:t>
            </w:r>
          </w:p>
        </w:tc>
        <w:tc>
          <w:tcPr>
            <w:tcW w:w="833" w:type="pct"/>
          </w:tcPr>
          <w:p w14:paraId="76CC90E4" w14:textId="3D6A4FFF" w:rsidR="00F73AD6" w:rsidRPr="005F2A0F" w:rsidRDefault="00C97776" w:rsidP="001B5A8A">
            <w:pPr>
              <w:pStyle w:val="Tablebody0"/>
            </w:pPr>
            <w:r>
              <w:t xml:space="preserve">Climate Readiness </w:t>
            </w:r>
            <w:r w:rsidR="00F73AD6" w:rsidRPr="00B5786C">
              <w:t>Tool assessment complete</w:t>
            </w:r>
          </w:p>
        </w:tc>
        <w:tc>
          <w:tcPr>
            <w:tcW w:w="810" w:type="pct"/>
            <w:shd w:val="clear" w:color="auto" w:fill="auto"/>
          </w:tcPr>
          <w:p w14:paraId="20DF8333" w14:textId="328BCE1E" w:rsidR="00F73AD6" w:rsidRPr="005F2A0F" w:rsidRDefault="00F73AD6" w:rsidP="001B5A8A">
            <w:pPr>
              <w:pStyle w:val="Tablebody0"/>
            </w:pPr>
            <w:r w:rsidRPr="00B5786C">
              <w:t xml:space="preserve">Corporate </w:t>
            </w:r>
            <w:r w:rsidR="006C6217">
              <w:t>r</w:t>
            </w:r>
            <w:r w:rsidRPr="00B5786C">
              <w:t>isk manager</w:t>
            </w:r>
          </w:p>
        </w:tc>
        <w:tc>
          <w:tcPr>
            <w:tcW w:w="805" w:type="pct"/>
            <w:shd w:val="clear" w:color="auto" w:fill="A8EDB3"/>
          </w:tcPr>
          <w:p w14:paraId="39B9057B" w14:textId="05A79B76" w:rsidR="00F73AD6" w:rsidRPr="005F2A0F" w:rsidRDefault="00F73AD6" w:rsidP="001B5A8A">
            <w:pPr>
              <w:pStyle w:val="Tablebody0"/>
            </w:pPr>
            <w:r w:rsidRPr="00B5786C">
              <w:t>Complete</w:t>
            </w:r>
          </w:p>
        </w:tc>
        <w:tc>
          <w:tcPr>
            <w:tcW w:w="805" w:type="pct"/>
          </w:tcPr>
          <w:p w14:paraId="0A14243E" w14:textId="19F6D624" w:rsidR="00F73AD6" w:rsidRPr="005F2A0F" w:rsidRDefault="00F73AD6" w:rsidP="001B5A8A">
            <w:pPr>
              <w:pStyle w:val="Tablebody0"/>
            </w:pPr>
            <w:r w:rsidRPr="00B5786C">
              <w:t>Refer</w:t>
            </w:r>
            <w:r w:rsidR="00C97776">
              <w:t xml:space="preserve"> to</w:t>
            </w:r>
            <w:r w:rsidRPr="00B5786C">
              <w:t xml:space="preserve"> </w:t>
            </w:r>
            <w:r w:rsidR="00C97776">
              <w:t>Climate Readiness</w:t>
            </w:r>
            <w:r w:rsidR="00C97776" w:rsidRPr="00B5786C">
              <w:t xml:space="preserve"> </w:t>
            </w:r>
            <w:r w:rsidRPr="00B5786C">
              <w:t>Tool</w:t>
            </w:r>
          </w:p>
        </w:tc>
        <w:tc>
          <w:tcPr>
            <w:tcW w:w="726" w:type="pct"/>
          </w:tcPr>
          <w:p w14:paraId="41BF08DC" w14:textId="4E0ADBA5" w:rsidR="00F73AD6" w:rsidRPr="005F2A0F" w:rsidRDefault="00F73AD6" w:rsidP="001B5A8A">
            <w:pPr>
              <w:pStyle w:val="Tablebody0"/>
            </w:pPr>
            <w:r w:rsidRPr="00B5786C">
              <w:t>Basic</w:t>
            </w:r>
          </w:p>
        </w:tc>
      </w:tr>
      <w:tr w:rsidR="00F73AD6" w:rsidRPr="005F2A0F" w14:paraId="241F9317" w14:textId="77777777" w:rsidTr="00F73AD6">
        <w:tc>
          <w:tcPr>
            <w:tcW w:w="1021" w:type="pct"/>
          </w:tcPr>
          <w:p w14:paraId="65953836" w14:textId="2D81D9C7" w:rsidR="00F73AD6" w:rsidRPr="005F2A0F" w:rsidRDefault="00F73AD6" w:rsidP="001B5A8A">
            <w:pPr>
              <w:pStyle w:val="Tablebody0"/>
            </w:pPr>
            <w:r w:rsidRPr="00B5786C">
              <w:t>Risks have been mapped against Council’s success criteria</w:t>
            </w:r>
            <w:r w:rsidR="006C6217">
              <w:t>,</w:t>
            </w:r>
            <w:r w:rsidRPr="00B5786C">
              <w:t xml:space="preserve"> and adaptation measures </w:t>
            </w:r>
            <w:r w:rsidR="006C6217">
              <w:t xml:space="preserve">have been </w:t>
            </w:r>
            <w:r w:rsidRPr="00B5786C">
              <w:t>prioriti</w:t>
            </w:r>
            <w:r w:rsidR="006C6217">
              <w:t>s</w:t>
            </w:r>
            <w:r w:rsidRPr="00B5786C">
              <w:t>ed for implementation</w:t>
            </w:r>
          </w:p>
        </w:tc>
        <w:tc>
          <w:tcPr>
            <w:tcW w:w="833" w:type="pct"/>
          </w:tcPr>
          <w:p w14:paraId="289A5CDD" w14:textId="59C934C3" w:rsidR="00F73AD6" w:rsidRPr="005F2A0F" w:rsidRDefault="00F73AD6" w:rsidP="001B5A8A">
            <w:pPr>
              <w:pStyle w:val="Tablebody0"/>
            </w:pPr>
            <w:r w:rsidRPr="00B5786C">
              <w:t>7 priority risks identified</w:t>
            </w:r>
          </w:p>
        </w:tc>
        <w:tc>
          <w:tcPr>
            <w:tcW w:w="810" w:type="pct"/>
            <w:shd w:val="clear" w:color="auto" w:fill="auto"/>
          </w:tcPr>
          <w:p w14:paraId="44E95DAE" w14:textId="698C71B2" w:rsidR="00F73AD6" w:rsidRPr="005F2A0F" w:rsidRDefault="00F73AD6" w:rsidP="001B5A8A">
            <w:pPr>
              <w:pStyle w:val="Tablebody0"/>
            </w:pPr>
            <w:r w:rsidRPr="00B5786C">
              <w:t xml:space="preserve">Corporate </w:t>
            </w:r>
            <w:r w:rsidR="00CD475E">
              <w:t>r</w:t>
            </w:r>
            <w:r w:rsidRPr="00B5786C">
              <w:t>isk manager</w:t>
            </w:r>
          </w:p>
        </w:tc>
        <w:tc>
          <w:tcPr>
            <w:tcW w:w="805" w:type="pct"/>
            <w:shd w:val="clear" w:color="auto" w:fill="A8EDB3"/>
          </w:tcPr>
          <w:p w14:paraId="47BBBC6B" w14:textId="114222D0" w:rsidR="00F73AD6" w:rsidRPr="005F2A0F" w:rsidRDefault="00F73AD6" w:rsidP="001B5A8A">
            <w:pPr>
              <w:pStyle w:val="Tablebody0"/>
            </w:pPr>
            <w:r w:rsidRPr="00B5786C">
              <w:t>On track</w:t>
            </w:r>
          </w:p>
        </w:tc>
        <w:tc>
          <w:tcPr>
            <w:tcW w:w="805" w:type="pct"/>
          </w:tcPr>
          <w:p w14:paraId="08383768" w14:textId="66D104C6" w:rsidR="00F73AD6" w:rsidRPr="005F2A0F" w:rsidRDefault="00F73AD6" w:rsidP="001B5A8A">
            <w:pPr>
              <w:pStyle w:val="Tablebody0"/>
            </w:pPr>
            <w:r w:rsidRPr="00B5786C">
              <w:t>Complete – refer</w:t>
            </w:r>
            <w:r w:rsidR="0045343F">
              <w:t xml:space="preserve"> to</w:t>
            </w:r>
            <w:r w:rsidRPr="00B5786C">
              <w:t xml:space="preserve"> </w:t>
            </w:r>
            <w:r w:rsidRPr="00CD475E">
              <w:rPr>
                <w:highlight w:val="yellow"/>
              </w:rPr>
              <w:t>XYZ</w:t>
            </w:r>
          </w:p>
        </w:tc>
        <w:tc>
          <w:tcPr>
            <w:tcW w:w="726" w:type="pct"/>
          </w:tcPr>
          <w:p w14:paraId="6FB23EC9" w14:textId="3D1EAF49" w:rsidR="00F73AD6" w:rsidRPr="005F2A0F" w:rsidRDefault="00F73AD6" w:rsidP="001B5A8A">
            <w:pPr>
              <w:pStyle w:val="Tablebody0"/>
            </w:pPr>
            <w:r w:rsidRPr="00B5786C">
              <w:t>Basic</w:t>
            </w:r>
          </w:p>
        </w:tc>
      </w:tr>
      <w:tr w:rsidR="00F73AD6" w:rsidRPr="005F2A0F" w14:paraId="34D56EA1" w14:textId="77777777" w:rsidTr="00F73AD6">
        <w:tc>
          <w:tcPr>
            <w:tcW w:w="1021" w:type="pct"/>
          </w:tcPr>
          <w:p w14:paraId="6A5AACC0" w14:textId="4BF2A1AA" w:rsidR="00F73AD6" w:rsidRPr="005F2A0F" w:rsidRDefault="00F73AD6" w:rsidP="001B5A8A">
            <w:pPr>
              <w:pStyle w:val="Tablebody0"/>
            </w:pPr>
            <w:r w:rsidRPr="00B5786C">
              <w:t>Leadership team ha</w:t>
            </w:r>
            <w:r w:rsidR="00CD475E">
              <w:t>s</w:t>
            </w:r>
            <w:r w:rsidRPr="00B5786C">
              <w:t xml:space="preserve"> been briefed on the findings of the climate change risk assessment</w:t>
            </w:r>
          </w:p>
        </w:tc>
        <w:tc>
          <w:tcPr>
            <w:tcW w:w="833" w:type="pct"/>
          </w:tcPr>
          <w:p w14:paraId="33A221F6" w14:textId="2F41ECE4" w:rsidR="00F73AD6" w:rsidRPr="005F2A0F" w:rsidRDefault="00F73AD6" w:rsidP="001B5A8A">
            <w:pPr>
              <w:pStyle w:val="Tablebody0"/>
            </w:pPr>
            <w:r w:rsidRPr="00B5786C">
              <w:t>Pending completion of risk assessment</w:t>
            </w:r>
          </w:p>
        </w:tc>
        <w:tc>
          <w:tcPr>
            <w:tcW w:w="810" w:type="pct"/>
            <w:shd w:val="clear" w:color="auto" w:fill="auto"/>
          </w:tcPr>
          <w:p w14:paraId="6DFD9688" w14:textId="3630D518" w:rsidR="00F73AD6" w:rsidRPr="005F2A0F" w:rsidRDefault="00F73AD6" w:rsidP="001B5A8A">
            <w:pPr>
              <w:pStyle w:val="Tablebody0"/>
            </w:pPr>
            <w:r w:rsidRPr="00B5786C">
              <w:t xml:space="preserve">Corporate </w:t>
            </w:r>
            <w:r w:rsidR="00CD475E">
              <w:t>r</w:t>
            </w:r>
            <w:r w:rsidRPr="00B5786C">
              <w:t>isk manager</w:t>
            </w:r>
          </w:p>
        </w:tc>
        <w:tc>
          <w:tcPr>
            <w:tcW w:w="805" w:type="pct"/>
            <w:shd w:val="clear" w:color="auto" w:fill="A8EDB3"/>
          </w:tcPr>
          <w:p w14:paraId="3484DA24" w14:textId="4BC0A09C" w:rsidR="00F73AD6" w:rsidRPr="005F2A0F" w:rsidRDefault="00F73AD6" w:rsidP="001B5A8A">
            <w:pPr>
              <w:pStyle w:val="Tablebody0"/>
            </w:pPr>
            <w:r w:rsidRPr="00B5786C">
              <w:t>Complete</w:t>
            </w:r>
          </w:p>
        </w:tc>
        <w:tc>
          <w:tcPr>
            <w:tcW w:w="805" w:type="pct"/>
          </w:tcPr>
          <w:p w14:paraId="67B15EEF" w14:textId="37DE55B7" w:rsidR="00F73AD6" w:rsidRPr="005F2A0F" w:rsidRDefault="00F73AD6" w:rsidP="001B5A8A">
            <w:pPr>
              <w:pStyle w:val="Tablebody0"/>
            </w:pPr>
            <w:r w:rsidRPr="00B5786C">
              <w:t xml:space="preserve">Leadership team briefed on </w:t>
            </w:r>
            <w:r w:rsidRPr="00CD475E">
              <w:rPr>
                <w:highlight w:val="yellow"/>
              </w:rPr>
              <w:t>XYZ</w:t>
            </w:r>
          </w:p>
        </w:tc>
        <w:tc>
          <w:tcPr>
            <w:tcW w:w="726" w:type="pct"/>
          </w:tcPr>
          <w:p w14:paraId="1A93D815" w14:textId="678B2D89" w:rsidR="00F73AD6" w:rsidRPr="005F2A0F" w:rsidRDefault="00F73AD6" w:rsidP="001B5A8A">
            <w:pPr>
              <w:pStyle w:val="Tablebody0"/>
            </w:pPr>
            <w:r w:rsidRPr="00B5786C">
              <w:t>Basic</w:t>
            </w:r>
          </w:p>
        </w:tc>
      </w:tr>
      <w:tr w:rsidR="00F73AD6" w:rsidRPr="005F2A0F" w14:paraId="40F0F2C7" w14:textId="77777777" w:rsidTr="00F73AD6">
        <w:tc>
          <w:tcPr>
            <w:tcW w:w="1021" w:type="pct"/>
          </w:tcPr>
          <w:p w14:paraId="2A77CB99" w14:textId="0A6BC77F" w:rsidR="00F73AD6" w:rsidRPr="005F2A0F" w:rsidRDefault="00F73AD6" w:rsidP="001B5A8A">
            <w:pPr>
              <w:pStyle w:val="Tablebody0"/>
            </w:pPr>
            <w:r w:rsidRPr="00B5786C">
              <w:t xml:space="preserve">Number of adaptation measures </w:t>
            </w:r>
            <w:r w:rsidR="00CD475E">
              <w:t>that</w:t>
            </w:r>
            <w:r w:rsidR="00CD475E" w:rsidRPr="00B5786C">
              <w:t xml:space="preserve"> </w:t>
            </w:r>
            <w:r w:rsidRPr="00B5786C">
              <w:t>have progressed beyond scoping/design/business case stage into implementation</w:t>
            </w:r>
          </w:p>
        </w:tc>
        <w:tc>
          <w:tcPr>
            <w:tcW w:w="833" w:type="pct"/>
          </w:tcPr>
          <w:p w14:paraId="50CA7603" w14:textId="0F204B2F" w:rsidR="00F73AD6" w:rsidRPr="005F2A0F" w:rsidRDefault="00F73AD6" w:rsidP="001B5A8A">
            <w:pPr>
              <w:pStyle w:val="Tablebody0"/>
            </w:pPr>
            <w:r w:rsidRPr="00B5786C">
              <w:t>12 adaptation measures identified for implementation, 3 for feasibility assessment and 1 for scoping</w:t>
            </w:r>
          </w:p>
        </w:tc>
        <w:tc>
          <w:tcPr>
            <w:tcW w:w="810" w:type="pct"/>
            <w:shd w:val="clear" w:color="auto" w:fill="auto"/>
          </w:tcPr>
          <w:p w14:paraId="021E2B3C" w14:textId="64F11108" w:rsidR="00F73AD6" w:rsidRPr="005F2A0F" w:rsidRDefault="00F73AD6" w:rsidP="001B5A8A">
            <w:pPr>
              <w:pStyle w:val="Tablebody0"/>
            </w:pPr>
            <w:r w:rsidRPr="00B5786C">
              <w:t xml:space="preserve">Assessment team </w:t>
            </w:r>
          </w:p>
        </w:tc>
        <w:tc>
          <w:tcPr>
            <w:tcW w:w="805" w:type="pct"/>
            <w:shd w:val="clear" w:color="auto" w:fill="FDE79A"/>
          </w:tcPr>
          <w:p w14:paraId="5A6D3D9D" w14:textId="63D11B71" w:rsidR="00F73AD6" w:rsidRPr="005F2A0F" w:rsidRDefault="00F73AD6" w:rsidP="001B5A8A">
            <w:pPr>
              <w:pStyle w:val="Tablebody0"/>
            </w:pPr>
            <w:r w:rsidRPr="00B5786C">
              <w:t>6 measures implemented. 6 adaptation measures integrated into Council operations. 3 feasibility assessments complete</w:t>
            </w:r>
          </w:p>
        </w:tc>
        <w:tc>
          <w:tcPr>
            <w:tcW w:w="805" w:type="pct"/>
          </w:tcPr>
          <w:p w14:paraId="2BE19F4F" w14:textId="476EA4BF" w:rsidR="00F73AD6" w:rsidRPr="005F2A0F" w:rsidRDefault="00F73AD6" w:rsidP="001B5A8A">
            <w:pPr>
              <w:pStyle w:val="Tablebody0"/>
            </w:pPr>
            <w:r w:rsidRPr="00B5786C">
              <w:t>Cross</w:t>
            </w:r>
            <w:r w:rsidR="00CD475E">
              <w:t>-</w:t>
            </w:r>
            <w:r w:rsidRPr="00B5786C">
              <w:t>reference to risk register</w:t>
            </w:r>
            <w:r w:rsidR="00CD475E">
              <w:t xml:space="preserve"> or </w:t>
            </w:r>
            <w:r w:rsidRPr="00B5786C">
              <w:t>summary of implementation status against each adaptation action</w:t>
            </w:r>
          </w:p>
        </w:tc>
        <w:tc>
          <w:tcPr>
            <w:tcW w:w="726" w:type="pct"/>
          </w:tcPr>
          <w:p w14:paraId="09A95A11" w14:textId="05B0CC14" w:rsidR="00F73AD6" w:rsidRPr="005F2A0F" w:rsidRDefault="00F73AD6" w:rsidP="001B5A8A">
            <w:pPr>
              <w:pStyle w:val="Tablebody0"/>
            </w:pPr>
            <w:r w:rsidRPr="00B5786C">
              <w:t>Repeatable</w:t>
            </w:r>
          </w:p>
        </w:tc>
      </w:tr>
      <w:tr w:rsidR="00F73AD6" w:rsidRPr="005F2A0F" w14:paraId="690444F0" w14:textId="77777777" w:rsidTr="00F73AD6">
        <w:tc>
          <w:tcPr>
            <w:tcW w:w="1021" w:type="pct"/>
          </w:tcPr>
          <w:p w14:paraId="3C5153A6" w14:textId="31EE8AD1" w:rsidR="00F73AD6" w:rsidRPr="005F2A0F" w:rsidRDefault="00A12087" w:rsidP="001B5A8A">
            <w:pPr>
              <w:pStyle w:val="Tablebody0"/>
            </w:pPr>
            <w:r>
              <w:t>N</w:t>
            </w:r>
            <w:r w:rsidR="00F73AD6" w:rsidRPr="00B5786C">
              <w:t>umber of risks rated a</w:t>
            </w:r>
            <w:r w:rsidR="00CD475E">
              <w:t>s</w:t>
            </w:r>
            <w:r w:rsidR="00F73AD6" w:rsidRPr="00B5786C">
              <w:t xml:space="preserve"> </w:t>
            </w:r>
            <w:r w:rsidR="00CD475E">
              <w:t>m</w:t>
            </w:r>
            <w:r w:rsidR="00F73AD6" w:rsidRPr="00B5786C">
              <w:t>edium</w:t>
            </w:r>
            <w:r w:rsidR="00CD475E">
              <w:t>, h</w:t>
            </w:r>
            <w:r w:rsidR="00F73AD6" w:rsidRPr="00B5786C">
              <w:t>igh</w:t>
            </w:r>
            <w:r w:rsidR="00CD475E">
              <w:t xml:space="preserve"> or e</w:t>
            </w:r>
            <w:r w:rsidR="00F73AD6" w:rsidRPr="00B5786C">
              <w:t>xtreme ha</w:t>
            </w:r>
            <w:r w:rsidR="00CD475E">
              <w:t>s</w:t>
            </w:r>
            <w:r w:rsidR="00F73AD6" w:rsidRPr="00B5786C">
              <w:t xml:space="preserve"> been reduced through implementation of </w:t>
            </w:r>
            <w:r w:rsidR="00F73AD6" w:rsidRPr="00B5786C">
              <w:lastRenderedPageBreak/>
              <w:t>adaptation measures</w:t>
            </w:r>
          </w:p>
        </w:tc>
        <w:tc>
          <w:tcPr>
            <w:tcW w:w="833" w:type="pct"/>
          </w:tcPr>
          <w:p w14:paraId="755C3036" w14:textId="27503C9C" w:rsidR="00F73AD6" w:rsidRPr="00B5786C" w:rsidRDefault="00F73AD6" w:rsidP="000D6DB4">
            <w:pPr>
              <w:pStyle w:val="Tablebody0"/>
            </w:pPr>
            <w:r w:rsidRPr="00B5786C">
              <w:lastRenderedPageBreak/>
              <w:t xml:space="preserve">1 </w:t>
            </w:r>
            <w:r w:rsidR="00CD475E">
              <w:t>e</w:t>
            </w:r>
            <w:r w:rsidRPr="00B5786C">
              <w:t>xtreme risk</w:t>
            </w:r>
          </w:p>
          <w:p w14:paraId="6CB2832C" w14:textId="4C31E77D" w:rsidR="00F73AD6" w:rsidRPr="00B5786C" w:rsidRDefault="00F73AD6" w:rsidP="000D6DB4">
            <w:pPr>
              <w:pStyle w:val="Tablebody0"/>
            </w:pPr>
            <w:r w:rsidRPr="00B5786C">
              <w:t xml:space="preserve">3 </w:t>
            </w:r>
            <w:r w:rsidR="00CD475E">
              <w:t>h</w:t>
            </w:r>
            <w:r w:rsidRPr="00B5786C">
              <w:t>igh risks</w:t>
            </w:r>
          </w:p>
          <w:p w14:paraId="1702D47C" w14:textId="318A96CE" w:rsidR="00F73AD6" w:rsidRPr="005F2A0F" w:rsidRDefault="00F73AD6" w:rsidP="001B5A8A">
            <w:pPr>
              <w:pStyle w:val="Tablebody0"/>
            </w:pPr>
            <w:r w:rsidRPr="00B5786C">
              <w:t xml:space="preserve">10 </w:t>
            </w:r>
            <w:r w:rsidR="00CD475E">
              <w:t>m</w:t>
            </w:r>
            <w:r w:rsidRPr="00B5786C">
              <w:t>edium risks</w:t>
            </w:r>
          </w:p>
        </w:tc>
        <w:tc>
          <w:tcPr>
            <w:tcW w:w="810" w:type="pct"/>
            <w:shd w:val="clear" w:color="auto" w:fill="auto"/>
          </w:tcPr>
          <w:p w14:paraId="629E4FF8" w14:textId="2CC821FF" w:rsidR="00F73AD6" w:rsidRPr="005F2A0F" w:rsidRDefault="00F73AD6" w:rsidP="001B5A8A">
            <w:pPr>
              <w:pStyle w:val="Tablebody0"/>
            </w:pPr>
            <w:r w:rsidRPr="00B5786C">
              <w:t xml:space="preserve">Corporate </w:t>
            </w:r>
            <w:r w:rsidR="00CD475E">
              <w:t>r</w:t>
            </w:r>
            <w:r w:rsidRPr="00B5786C">
              <w:t>isk manager</w:t>
            </w:r>
          </w:p>
        </w:tc>
        <w:tc>
          <w:tcPr>
            <w:tcW w:w="805" w:type="pct"/>
            <w:shd w:val="clear" w:color="auto" w:fill="FDE79A"/>
          </w:tcPr>
          <w:p w14:paraId="6E6EBC66" w14:textId="5BA9CFE4" w:rsidR="00F73AD6" w:rsidRPr="005F2A0F" w:rsidRDefault="00F73AD6" w:rsidP="001B5A8A">
            <w:pPr>
              <w:pStyle w:val="Tablebody0"/>
            </w:pPr>
            <w:r w:rsidRPr="00B5786C">
              <w:t>In progress</w:t>
            </w:r>
          </w:p>
        </w:tc>
        <w:tc>
          <w:tcPr>
            <w:tcW w:w="805" w:type="pct"/>
          </w:tcPr>
          <w:p w14:paraId="293E970F" w14:textId="697BF5D2" w:rsidR="00F73AD6" w:rsidRPr="005F2A0F" w:rsidRDefault="00F73AD6" w:rsidP="001B5A8A">
            <w:pPr>
              <w:pStyle w:val="Tablebody0"/>
            </w:pPr>
            <w:r w:rsidRPr="00B5786C">
              <w:t>Risk ratings remain the same, but adaptation measure</w:t>
            </w:r>
            <w:r w:rsidR="00CD475E">
              <w:t>s</w:t>
            </w:r>
            <w:r w:rsidRPr="00B5786C">
              <w:t xml:space="preserve"> have been implemented</w:t>
            </w:r>
          </w:p>
        </w:tc>
        <w:tc>
          <w:tcPr>
            <w:tcW w:w="726" w:type="pct"/>
          </w:tcPr>
          <w:p w14:paraId="6135D39E" w14:textId="3E46DDCB" w:rsidR="00F73AD6" w:rsidRPr="005F2A0F" w:rsidRDefault="00F73AD6" w:rsidP="001B5A8A">
            <w:pPr>
              <w:pStyle w:val="Tablebody0"/>
            </w:pPr>
            <w:r w:rsidRPr="00B5786C">
              <w:t>Basic</w:t>
            </w:r>
          </w:p>
        </w:tc>
      </w:tr>
      <w:tr w:rsidR="00F73AD6" w:rsidRPr="005F2A0F" w14:paraId="1809EA95" w14:textId="77777777" w:rsidTr="00F73AD6">
        <w:tc>
          <w:tcPr>
            <w:tcW w:w="1021" w:type="pct"/>
          </w:tcPr>
          <w:p w14:paraId="7C9A8E1C" w14:textId="3FB77C74" w:rsidR="00F73AD6" w:rsidRPr="005F2A0F" w:rsidRDefault="00F73AD6" w:rsidP="001B5A8A">
            <w:pPr>
              <w:pStyle w:val="Tablebody0"/>
            </w:pPr>
            <w:r w:rsidRPr="00B5786C">
              <w:t>Existing risk assessment tools have been revised to better capture and assess physical climate risks</w:t>
            </w:r>
          </w:p>
        </w:tc>
        <w:tc>
          <w:tcPr>
            <w:tcW w:w="833" w:type="pct"/>
          </w:tcPr>
          <w:p w14:paraId="504AC5D3" w14:textId="14CD0037" w:rsidR="00F73AD6" w:rsidRPr="005F2A0F" w:rsidRDefault="00F73AD6" w:rsidP="001B5A8A">
            <w:pPr>
              <w:pStyle w:val="Tablebody0"/>
            </w:pPr>
            <w:r w:rsidRPr="00B5786C">
              <w:t>Existing tools do not include climate</w:t>
            </w:r>
            <w:r w:rsidR="000D6DB4">
              <w:t>-</w:t>
            </w:r>
            <w:r w:rsidRPr="00B5786C">
              <w:t>related risks</w:t>
            </w:r>
          </w:p>
        </w:tc>
        <w:tc>
          <w:tcPr>
            <w:tcW w:w="810" w:type="pct"/>
            <w:shd w:val="clear" w:color="auto" w:fill="auto"/>
          </w:tcPr>
          <w:p w14:paraId="5F942104" w14:textId="178E09E3" w:rsidR="00F73AD6" w:rsidRPr="005F2A0F" w:rsidRDefault="00F73AD6" w:rsidP="001B5A8A">
            <w:pPr>
              <w:pStyle w:val="Tablebody0"/>
            </w:pPr>
            <w:r w:rsidRPr="00B5786C">
              <w:t xml:space="preserve">Corporate </w:t>
            </w:r>
            <w:r w:rsidR="00CD475E">
              <w:t>r</w:t>
            </w:r>
            <w:r w:rsidRPr="00B5786C">
              <w:t>isk manager</w:t>
            </w:r>
          </w:p>
        </w:tc>
        <w:tc>
          <w:tcPr>
            <w:tcW w:w="805" w:type="pct"/>
            <w:shd w:val="clear" w:color="auto" w:fill="A8EDB3"/>
          </w:tcPr>
          <w:p w14:paraId="50C38FD6" w14:textId="6BA66388" w:rsidR="00F73AD6" w:rsidRPr="005F2A0F" w:rsidRDefault="00F73AD6" w:rsidP="001B5A8A">
            <w:pPr>
              <w:pStyle w:val="Tablebody0"/>
            </w:pPr>
            <w:r w:rsidRPr="00B5786C">
              <w:t>Corporate risk register includes overarching climate risk</w:t>
            </w:r>
          </w:p>
        </w:tc>
        <w:tc>
          <w:tcPr>
            <w:tcW w:w="805" w:type="pct"/>
          </w:tcPr>
          <w:p w14:paraId="7971E878" w14:textId="694559CE" w:rsidR="00F73AD6" w:rsidRPr="005F2A0F" w:rsidRDefault="00F73AD6" w:rsidP="001B5A8A">
            <w:pPr>
              <w:pStyle w:val="Tablebody0"/>
            </w:pPr>
            <w:r w:rsidRPr="00B5786C">
              <w:t>Refer to corporate risk register</w:t>
            </w:r>
          </w:p>
        </w:tc>
        <w:tc>
          <w:tcPr>
            <w:tcW w:w="726" w:type="pct"/>
          </w:tcPr>
          <w:p w14:paraId="21F03ABB" w14:textId="2493285A" w:rsidR="00F73AD6" w:rsidRPr="005F2A0F" w:rsidRDefault="00F73AD6" w:rsidP="001B5A8A">
            <w:pPr>
              <w:pStyle w:val="Tablebody0"/>
            </w:pPr>
            <w:r w:rsidRPr="00B5786C">
              <w:t>Repeatable</w:t>
            </w:r>
          </w:p>
        </w:tc>
      </w:tr>
      <w:tr w:rsidR="00F73AD6" w:rsidRPr="005F2A0F" w14:paraId="4CB2DDB4" w14:textId="77777777" w:rsidTr="00F73AD6">
        <w:tc>
          <w:tcPr>
            <w:tcW w:w="1021" w:type="pct"/>
          </w:tcPr>
          <w:p w14:paraId="00B1AAF5" w14:textId="3C7FC97B" w:rsidR="00F73AD6" w:rsidRPr="005F2A0F" w:rsidRDefault="00F73AD6" w:rsidP="001B5A8A">
            <w:pPr>
              <w:pStyle w:val="Tablebody0"/>
            </w:pPr>
            <w:r w:rsidRPr="00B5786C">
              <w:t>Council has developed and implemented a policy for undertaking climate risk assessments</w:t>
            </w:r>
          </w:p>
        </w:tc>
        <w:tc>
          <w:tcPr>
            <w:tcW w:w="833" w:type="pct"/>
          </w:tcPr>
          <w:p w14:paraId="3AF81D6B" w14:textId="0D6143C9" w:rsidR="00F73AD6" w:rsidRPr="005F2A0F" w:rsidRDefault="00F73AD6" w:rsidP="001B5A8A">
            <w:pPr>
              <w:pStyle w:val="Tablebody0"/>
            </w:pPr>
            <w:r w:rsidRPr="00B5786C">
              <w:t>No policy in place</w:t>
            </w:r>
          </w:p>
        </w:tc>
        <w:tc>
          <w:tcPr>
            <w:tcW w:w="810" w:type="pct"/>
            <w:shd w:val="clear" w:color="auto" w:fill="auto"/>
          </w:tcPr>
          <w:p w14:paraId="5B8D765A" w14:textId="67723029" w:rsidR="00F73AD6" w:rsidRPr="005F2A0F" w:rsidRDefault="00F73AD6" w:rsidP="001B5A8A">
            <w:pPr>
              <w:pStyle w:val="Tablebody0"/>
            </w:pPr>
            <w:r w:rsidRPr="00B5786C">
              <w:t>Executive</w:t>
            </w:r>
          </w:p>
        </w:tc>
        <w:tc>
          <w:tcPr>
            <w:tcW w:w="805" w:type="pct"/>
            <w:shd w:val="clear" w:color="auto" w:fill="FDE79A"/>
          </w:tcPr>
          <w:p w14:paraId="5D022FE3" w14:textId="3F1DFD04" w:rsidR="00F73AD6" w:rsidRPr="005F2A0F" w:rsidRDefault="00F73AD6" w:rsidP="001B5A8A">
            <w:pPr>
              <w:pStyle w:val="Tablebody0"/>
            </w:pPr>
            <w:r w:rsidRPr="00B5786C">
              <w:t>Internal policy has been approved but not made public</w:t>
            </w:r>
          </w:p>
        </w:tc>
        <w:tc>
          <w:tcPr>
            <w:tcW w:w="805" w:type="pct"/>
          </w:tcPr>
          <w:p w14:paraId="37F40576" w14:textId="1E55B4DC" w:rsidR="00F73AD6" w:rsidRPr="005F2A0F" w:rsidRDefault="00F73AD6" w:rsidP="001B5A8A">
            <w:pPr>
              <w:pStyle w:val="Tablebody0"/>
            </w:pPr>
            <w:r w:rsidRPr="00B5786C">
              <w:t>Policy name and date approved</w:t>
            </w:r>
          </w:p>
        </w:tc>
        <w:tc>
          <w:tcPr>
            <w:tcW w:w="726" w:type="pct"/>
          </w:tcPr>
          <w:p w14:paraId="27824C39" w14:textId="59082520" w:rsidR="00F73AD6" w:rsidRPr="005F2A0F" w:rsidRDefault="00F73AD6" w:rsidP="001B5A8A">
            <w:pPr>
              <w:pStyle w:val="Tablebody0"/>
            </w:pPr>
            <w:r w:rsidRPr="00B5786C">
              <w:t>Repeatable</w:t>
            </w:r>
          </w:p>
        </w:tc>
      </w:tr>
      <w:tr w:rsidR="00F73AD6" w:rsidRPr="005F2A0F" w14:paraId="535649E5" w14:textId="77777777" w:rsidTr="00F73AD6">
        <w:tc>
          <w:tcPr>
            <w:tcW w:w="1021" w:type="pct"/>
          </w:tcPr>
          <w:p w14:paraId="578203C5" w14:textId="7C805B17" w:rsidR="00F73AD6" w:rsidRPr="005F2A0F" w:rsidRDefault="00F73AD6" w:rsidP="001B5A8A">
            <w:pPr>
              <w:pStyle w:val="Tablebody0"/>
            </w:pPr>
            <w:r w:rsidRPr="00B5786C">
              <w:t xml:space="preserve">Climate change risk assessment team </w:t>
            </w:r>
            <w:r w:rsidR="00CD475E">
              <w:t xml:space="preserve">is </w:t>
            </w:r>
            <w:r w:rsidRPr="00B5786C">
              <w:t>involved in pos</w:t>
            </w:r>
            <w:r w:rsidR="00A12087">
              <w:t>t</w:t>
            </w:r>
            <w:r w:rsidR="00CD475E">
              <w:t>–</w:t>
            </w:r>
            <w:r w:rsidRPr="00B5786C">
              <w:t>hazardous event debriefs</w:t>
            </w:r>
          </w:p>
        </w:tc>
        <w:tc>
          <w:tcPr>
            <w:tcW w:w="833" w:type="pct"/>
          </w:tcPr>
          <w:p w14:paraId="31D78924" w14:textId="63337CFC" w:rsidR="00F73AD6" w:rsidRPr="005F2A0F" w:rsidRDefault="00F73AD6" w:rsidP="001B5A8A">
            <w:pPr>
              <w:pStyle w:val="Tablebody0"/>
            </w:pPr>
            <w:r w:rsidRPr="00B5786C">
              <w:t>Involved in an ad</w:t>
            </w:r>
            <w:r w:rsidR="00CD475E">
              <w:t xml:space="preserve"> </w:t>
            </w:r>
            <w:r w:rsidRPr="00B5786C">
              <w:t>hoc manner</w:t>
            </w:r>
          </w:p>
        </w:tc>
        <w:tc>
          <w:tcPr>
            <w:tcW w:w="810" w:type="pct"/>
            <w:shd w:val="clear" w:color="auto" w:fill="auto"/>
          </w:tcPr>
          <w:p w14:paraId="34B4E51F" w14:textId="494EC4A9" w:rsidR="00F73AD6" w:rsidRPr="005F2A0F" w:rsidRDefault="00F73AD6" w:rsidP="001B5A8A">
            <w:pPr>
              <w:pStyle w:val="Tablebody0"/>
            </w:pPr>
            <w:r w:rsidRPr="00B5786C">
              <w:t xml:space="preserve">Corporate </w:t>
            </w:r>
            <w:r w:rsidR="00CD475E">
              <w:t>r</w:t>
            </w:r>
            <w:r w:rsidRPr="00B5786C">
              <w:t>isk manager</w:t>
            </w:r>
          </w:p>
        </w:tc>
        <w:tc>
          <w:tcPr>
            <w:tcW w:w="805" w:type="pct"/>
            <w:shd w:val="clear" w:color="auto" w:fill="A8EDB3"/>
          </w:tcPr>
          <w:p w14:paraId="1AC6B533" w14:textId="400EE3FB" w:rsidR="00F73AD6" w:rsidRPr="005F2A0F" w:rsidRDefault="00F73AD6" w:rsidP="001B5A8A">
            <w:pPr>
              <w:pStyle w:val="Tablebody0"/>
            </w:pPr>
            <w:r w:rsidRPr="00B5786C">
              <w:t>On track</w:t>
            </w:r>
          </w:p>
        </w:tc>
        <w:tc>
          <w:tcPr>
            <w:tcW w:w="805" w:type="pct"/>
          </w:tcPr>
          <w:p w14:paraId="54221E52" w14:textId="164CE94E" w:rsidR="00F73AD6" w:rsidRPr="005F2A0F" w:rsidRDefault="00F73AD6" w:rsidP="001B5A8A">
            <w:pPr>
              <w:pStyle w:val="Tablebody0"/>
            </w:pPr>
            <w:r w:rsidRPr="00B5786C">
              <w:t>Hazard event has triggered review of Council design specifications</w:t>
            </w:r>
          </w:p>
        </w:tc>
        <w:tc>
          <w:tcPr>
            <w:tcW w:w="726" w:type="pct"/>
          </w:tcPr>
          <w:p w14:paraId="3BF223DB" w14:textId="1F9F1600" w:rsidR="00F73AD6" w:rsidRPr="005F2A0F" w:rsidRDefault="00F73AD6" w:rsidP="001B5A8A">
            <w:pPr>
              <w:pStyle w:val="Tablebody0"/>
            </w:pPr>
            <w:r w:rsidRPr="00B5786C">
              <w:t>Basic</w:t>
            </w:r>
          </w:p>
        </w:tc>
      </w:tr>
    </w:tbl>
    <w:p w14:paraId="7F8E92F3" w14:textId="63C172A1" w:rsidR="005538F4" w:rsidRPr="005F2A0F" w:rsidRDefault="005538F4" w:rsidP="00357FE4">
      <w:pPr>
        <w:pStyle w:val="Heading3-spaceaftertable"/>
      </w:pPr>
      <w:r w:rsidRPr="005F2A0F">
        <w:t>M</w:t>
      </w:r>
      <w:r w:rsidR="008033F5">
        <w:t xml:space="preserve">etrics and targets – </w:t>
      </w:r>
      <w:r w:rsidR="00CD475E">
        <w:t>s</w:t>
      </w:r>
      <w:r w:rsidR="008033F5">
        <w:t>ystematic</w:t>
      </w:r>
    </w:p>
    <w:p w14:paraId="1BA880FF" w14:textId="7D9041F6" w:rsidR="005538F4" w:rsidRPr="005F2A0F" w:rsidRDefault="005538F4" w:rsidP="001B5A8A">
      <w:pPr>
        <w:pStyle w:val="Body0"/>
      </w:pPr>
      <w:r w:rsidRPr="005F2A0F">
        <w:t>Specific metrics and targets have been identified to monitor implementation. Progress against these metrics will be reviewed on an annual basis. An initial baseline has been established</w:t>
      </w:r>
      <w:r w:rsidR="008033F5">
        <w:t xml:space="preserve"> to measure progress over time.</w:t>
      </w:r>
    </w:p>
    <w:tbl>
      <w:tblPr>
        <w:tblStyle w:val="TableGrid"/>
        <w:tblW w:w="5000" w:type="pct"/>
        <w:tblLayout w:type="fixed"/>
        <w:tblLook w:val="04A0" w:firstRow="1" w:lastRow="0" w:firstColumn="1" w:lastColumn="0" w:noHBand="0" w:noVBand="1"/>
      </w:tblPr>
      <w:tblGrid>
        <w:gridCol w:w="1966"/>
        <w:gridCol w:w="1604"/>
        <w:gridCol w:w="1560"/>
        <w:gridCol w:w="1550"/>
        <w:gridCol w:w="1550"/>
        <w:gridCol w:w="1398"/>
      </w:tblGrid>
      <w:tr w:rsidR="005538F4" w:rsidRPr="005F2A0F" w14:paraId="212737DE" w14:textId="77777777" w:rsidTr="007B25E1">
        <w:trPr>
          <w:tblHeader/>
        </w:trPr>
        <w:tc>
          <w:tcPr>
            <w:tcW w:w="1021" w:type="pct"/>
            <w:vMerge w:val="restart"/>
            <w:tcBorders>
              <w:right w:val="single" w:sz="4" w:space="0" w:color="FFFFFF" w:themeColor="background1"/>
            </w:tcBorders>
            <w:shd w:val="clear" w:color="auto" w:fill="002664"/>
          </w:tcPr>
          <w:p w14:paraId="2A696EE9" w14:textId="77777777" w:rsidR="005538F4" w:rsidRPr="000C0486" w:rsidRDefault="005538F4" w:rsidP="007B25E1">
            <w:pPr>
              <w:pStyle w:val="Tablecellheader"/>
            </w:pPr>
            <w:r w:rsidRPr="000C0486">
              <w:t>Metrics and targets</w:t>
            </w:r>
          </w:p>
        </w:tc>
        <w:tc>
          <w:tcPr>
            <w:tcW w:w="833" w:type="pct"/>
            <w:vMerge w:val="restart"/>
            <w:tcBorders>
              <w:left w:val="single" w:sz="4" w:space="0" w:color="FFFFFF" w:themeColor="background1"/>
              <w:right w:val="single" w:sz="4" w:space="0" w:color="FFFFFF" w:themeColor="background1"/>
            </w:tcBorders>
            <w:shd w:val="clear" w:color="auto" w:fill="002664"/>
          </w:tcPr>
          <w:p w14:paraId="29D0A3EF" w14:textId="77777777" w:rsidR="005538F4" w:rsidRPr="000C0486" w:rsidRDefault="005538F4" w:rsidP="007B25E1">
            <w:pPr>
              <w:pStyle w:val="Tablecellheader"/>
            </w:pPr>
            <w:r w:rsidRPr="000C0486">
              <w:t>Baseline</w:t>
            </w:r>
          </w:p>
        </w:tc>
        <w:tc>
          <w:tcPr>
            <w:tcW w:w="810" w:type="pct"/>
            <w:vMerge w:val="restart"/>
            <w:tcBorders>
              <w:left w:val="single" w:sz="4" w:space="0" w:color="FFFFFF" w:themeColor="background1"/>
              <w:right w:val="single" w:sz="4" w:space="0" w:color="FFFFFF" w:themeColor="background1"/>
            </w:tcBorders>
            <w:shd w:val="clear" w:color="auto" w:fill="002664"/>
          </w:tcPr>
          <w:p w14:paraId="442DBFA5" w14:textId="0DFCFA6F" w:rsidR="005538F4" w:rsidRPr="000C0486" w:rsidRDefault="005538F4" w:rsidP="007B25E1">
            <w:pPr>
              <w:pStyle w:val="Tablecellheader"/>
            </w:pPr>
            <w:r w:rsidRPr="000C0486">
              <w:t>Responsibility</w:t>
            </w:r>
          </w:p>
        </w:tc>
        <w:tc>
          <w:tcPr>
            <w:tcW w:w="1609"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2664"/>
          </w:tcPr>
          <w:p w14:paraId="2A1E0325" w14:textId="77777777" w:rsidR="005538F4" w:rsidRPr="000C0486" w:rsidRDefault="005538F4" w:rsidP="007B25E1">
            <w:pPr>
              <w:pStyle w:val="Tablecellheader"/>
              <w:jc w:val="center"/>
            </w:pPr>
            <w:r w:rsidRPr="000C0486">
              <w:t>Year 1</w:t>
            </w:r>
          </w:p>
        </w:tc>
        <w:tc>
          <w:tcPr>
            <w:tcW w:w="727" w:type="pct"/>
            <w:vMerge w:val="restart"/>
            <w:tcBorders>
              <w:left w:val="single" w:sz="4" w:space="0" w:color="FFFFFF" w:themeColor="background1"/>
              <w:bottom w:val="single" w:sz="4" w:space="0" w:color="FFFFFF" w:themeColor="background1"/>
            </w:tcBorders>
            <w:shd w:val="clear" w:color="auto" w:fill="002664"/>
          </w:tcPr>
          <w:p w14:paraId="5C6B72FD" w14:textId="089DE7C0" w:rsidR="005538F4" w:rsidRPr="000C0486" w:rsidRDefault="005538F4" w:rsidP="007B25E1">
            <w:pPr>
              <w:pStyle w:val="Tablecellheader"/>
            </w:pPr>
            <w:r w:rsidRPr="000C0486">
              <w:t>Maturity level</w:t>
            </w:r>
          </w:p>
        </w:tc>
      </w:tr>
      <w:tr w:rsidR="005538F4" w:rsidRPr="005F2A0F" w14:paraId="5E895EC6" w14:textId="77777777" w:rsidTr="007B25E1">
        <w:trPr>
          <w:tblHeader/>
        </w:trPr>
        <w:tc>
          <w:tcPr>
            <w:tcW w:w="1021" w:type="pct"/>
            <w:vMerge/>
            <w:tcBorders>
              <w:top w:val="nil"/>
              <w:right w:val="single" w:sz="4" w:space="0" w:color="FFFFFF" w:themeColor="background1"/>
            </w:tcBorders>
          </w:tcPr>
          <w:p w14:paraId="7896FEF6" w14:textId="77777777" w:rsidR="005538F4" w:rsidRPr="005F2A0F" w:rsidRDefault="005538F4" w:rsidP="00BA7AA5"/>
        </w:tc>
        <w:tc>
          <w:tcPr>
            <w:tcW w:w="833" w:type="pct"/>
            <w:vMerge/>
            <w:tcBorders>
              <w:top w:val="single" w:sz="4" w:space="0" w:color="auto"/>
              <w:left w:val="single" w:sz="4" w:space="0" w:color="FFFFFF" w:themeColor="background1"/>
              <w:right w:val="single" w:sz="4" w:space="0" w:color="FFFFFF" w:themeColor="background1"/>
            </w:tcBorders>
          </w:tcPr>
          <w:p w14:paraId="53C00FDD" w14:textId="77777777" w:rsidR="005538F4" w:rsidRPr="005F2A0F" w:rsidRDefault="005538F4" w:rsidP="00BA7AA5"/>
        </w:tc>
        <w:tc>
          <w:tcPr>
            <w:tcW w:w="810" w:type="pct"/>
            <w:vMerge/>
            <w:tcBorders>
              <w:top w:val="single" w:sz="4" w:space="0" w:color="auto"/>
              <w:left w:val="single" w:sz="4" w:space="0" w:color="FFFFFF" w:themeColor="background1"/>
              <w:right w:val="single" w:sz="4" w:space="0" w:color="FFFFFF" w:themeColor="background1"/>
            </w:tcBorders>
          </w:tcPr>
          <w:p w14:paraId="0A2D6BBA" w14:textId="77777777" w:rsidR="005538F4" w:rsidRPr="005F2A0F" w:rsidRDefault="005538F4" w:rsidP="00BA7AA5"/>
        </w:tc>
        <w:tc>
          <w:tcPr>
            <w:tcW w:w="805" w:type="pct"/>
            <w:tcBorders>
              <w:top w:val="single" w:sz="4" w:space="0" w:color="FFFFFF" w:themeColor="background1"/>
              <w:left w:val="single" w:sz="4" w:space="0" w:color="FFFFFF" w:themeColor="background1"/>
              <w:right w:val="single" w:sz="4" w:space="0" w:color="FFFFFF" w:themeColor="background1"/>
            </w:tcBorders>
            <w:shd w:val="clear" w:color="auto" w:fill="002664"/>
          </w:tcPr>
          <w:p w14:paraId="0B8A7B44" w14:textId="77777777" w:rsidR="005538F4" w:rsidRPr="000C0486" w:rsidRDefault="005538F4" w:rsidP="007B25E1">
            <w:pPr>
              <w:pStyle w:val="Tablecellheader"/>
            </w:pPr>
            <w:r w:rsidRPr="000C0486">
              <w:t>Status</w:t>
            </w:r>
          </w:p>
        </w:tc>
        <w:tc>
          <w:tcPr>
            <w:tcW w:w="805" w:type="pct"/>
            <w:tcBorders>
              <w:top w:val="single" w:sz="4" w:space="0" w:color="FFFFFF" w:themeColor="background1"/>
              <w:left w:val="single" w:sz="4" w:space="0" w:color="FFFFFF" w:themeColor="background1"/>
              <w:right w:val="single" w:sz="4" w:space="0" w:color="FFFFFF" w:themeColor="background1"/>
            </w:tcBorders>
            <w:shd w:val="clear" w:color="auto" w:fill="002664"/>
          </w:tcPr>
          <w:p w14:paraId="5AA7981F" w14:textId="77777777" w:rsidR="005538F4" w:rsidRPr="000C0486" w:rsidRDefault="005538F4" w:rsidP="007B25E1">
            <w:pPr>
              <w:pStyle w:val="Tablecellheader"/>
            </w:pPr>
            <w:r w:rsidRPr="000C0486">
              <w:t>Evidence</w:t>
            </w:r>
          </w:p>
        </w:tc>
        <w:tc>
          <w:tcPr>
            <w:tcW w:w="727" w:type="pct"/>
            <w:vMerge/>
            <w:tcBorders>
              <w:top w:val="single" w:sz="4" w:space="0" w:color="FFFFFF" w:themeColor="background1"/>
              <w:left w:val="single" w:sz="4" w:space="0" w:color="FFFFFF" w:themeColor="background1"/>
            </w:tcBorders>
          </w:tcPr>
          <w:p w14:paraId="6A83D4D8" w14:textId="77777777" w:rsidR="005538F4" w:rsidRPr="005F2A0F" w:rsidRDefault="005538F4" w:rsidP="00BA7AA5"/>
        </w:tc>
      </w:tr>
      <w:tr w:rsidR="005538F4" w:rsidRPr="005F2A0F" w14:paraId="23793984" w14:textId="77777777" w:rsidTr="000C0486">
        <w:tc>
          <w:tcPr>
            <w:tcW w:w="1021" w:type="pct"/>
          </w:tcPr>
          <w:p w14:paraId="5705B8E1" w14:textId="0F577FD4" w:rsidR="005538F4" w:rsidRPr="005F2A0F" w:rsidRDefault="005538F4" w:rsidP="001B5A8A">
            <w:pPr>
              <w:pStyle w:val="Tablebody0"/>
            </w:pPr>
            <w:r w:rsidRPr="005F2A0F">
              <w:t>Current climate risk management maturity has been assessed and demonstrates that Council risk management has improved overall</w:t>
            </w:r>
          </w:p>
        </w:tc>
        <w:tc>
          <w:tcPr>
            <w:tcW w:w="833" w:type="pct"/>
          </w:tcPr>
          <w:p w14:paraId="11927F9C" w14:textId="2ACFACBA" w:rsidR="005538F4" w:rsidRPr="005F2A0F" w:rsidRDefault="00C97776" w:rsidP="001B5A8A">
            <w:pPr>
              <w:pStyle w:val="Tablebody0"/>
            </w:pPr>
            <w:r w:rsidRPr="00C97776">
              <w:t xml:space="preserve">Climate Readiness </w:t>
            </w:r>
            <w:r w:rsidR="005538F4" w:rsidRPr="005F2A0F">
              <w:t>Tool assessment complete</w:t>
            </w:r>
          </w:p>
        </w:tc>
        <w:tc>
          <w:tcPr>
            <w:tcW w:w="810" w:type="pct"/>
            <w:shd w:val="clear" w:color="auto" w:fill="auto"/>
          </w:tcPr>
          <w:p w14:paraId="3C363E6B" w14:textId="7C2224B2" w:rsidR="005538F4" w:rsidRPr="005F2A0F" w:rsidRDefault="005538F4" w:rsidP="001B5A8A">
            <w:pPr>
              <w:pStyle w:val="Tablebody0"/>
            </w:pPr>
            <w:r w:rsidRPr="005F2A0F">
              <w:t xml:space="preserve">Corporate </w:t>
            </w:r>
            <w:r w:rsidR="002B0F45">
              <w:t>r</w:t>
            </w:r>
            <w:r w:rsidRPr="005F2A0F">
              <w:t>isk manager</w:t>
            </w:r>
          </w:p>
        </w:tc>
        <w:tc>
          <w:tcPr>
            <w:tcW w:w="805" w:type="pct"/>
            <w:shd w:val="clear" w:color="auto" w:fill="A8EDB3"/>
          </w:tcPr>
          <w:p w14:paraId="080551F0" w14:textId="77777777" w:rsidR="005538F4" w:rsidRPr="005F2A0F" w:rsidRDefault="005538F4" w:rsidP="001B5A8A">
            <w:pPr>
              <w:pStyle w:val="Tablebody0"/>
            </w:pPr>
            <w:r w:rsidRPr="005F2A0F">
              <w:t>Complete</w:t>
            </w:r>
          </w:p>
        </w:tc>
        <w:tc>
          <w:tcPr>
            <w:tcW w:w="805" w:type="pct"/>
          </w:tcPr>
          <w:p w14:paraId="4F25071A" w14:textId="0EA6514F" w:rsidR="005538F4" w:rsidRPr="005F2A0F" w:rsidRDefault="00C97776" w:rsidP="001B5A8A">
            <w:pPr>
              <w:pStyle w:val="Tablebody0"/>
            </w:pPr>
            <w:r w:rsidRPr="005F2A0F">
              <w:t>Refer</w:t>
            </w:r>
            <w:r>
              <w:t xml:space="preserve"> to</w:t>
            </w:r>
            <w:r w:rsidRPr="00C97776">
              <w:t xml:space="preserve"> Climate Readiness </w:t>
            </w:r>
            <w:r w:rsidR="005538F4" w:rsidRPr="005F2A0F">
              <w:t>Tool. Curren</w:t>
            </w:r>
            <w:r w:rsidR="008033F5">
              <w:t xml:space="preserve">t level of maturity: </w:t>
            </w:r>
            <w:r w:rsidR="002B0F45">
              <w:t>s</w:t>
            </w:r>
            <w:r w:rsidR="008033F5">
              <w:t>ystematic</w:t>
            </w:r>
          </w:p>
        </w:tc>
        <w:tc>
          <w:tcPr>
            <w:tcW w:w="727" w:type="pct"/>
          </w:tcPr>
          <w:p w14:paraId="5A8E6302" w14:textId="1D89F707" w:rsidR="005538F4" w:rsidRPr="005F2A0F" w:rsidRDefault="005538F4" w:rsidP="001B5A8A">
            <w:pPr>
              <w:pStyle w:val="Tablebody0"/>
            </w:pPr>
            <w:r w:rsidRPr="005F2A0F">
              <w:t>Systematic</w:t>
            </w:r>
          </w:p>
        </w:tc>
      </w:tr>
      <w:tr w:rsidR="005538F4" w:rsidRPr="005F2A0F" w14:paraId="0F97FC5C" w14:textId="77777777" w:rsidTr="000C0486">
        <w:tc>
          <w:tcPr>
            <w:tcW w:w="1021" w:type="pct"/>
          </w:tcPr>
          <w:p w14:paraId="7CA0451B" w14:textId="50D68B47" w:rsidR="005538F4" w:rsidRPr="005F2A0F" w:rsidRDefault="005538F4" w:rsidP="001B5A8A">
            <w:pPr>
              <w:pStyle w:val="Tablebody0"/>
            </w:pPr>
            <w:r w:rsidRPr="005F2A0F">
              <w:t>Risks have been mapped against Council’s success criteria</w:t>
            </w:r>
            <w:r w:rsidR="002B0F45">
              <w:t>,</w:t>
            </w:r>
            <w:r w:rsidRPr="005F2A0F">
              <w:t xml:space="preserve"> and adaptation measures </w:t>
            </w:r>
            <w:r w:rsidR="002B0F45">
              <w:t xml:space="preserve">have been </w:t>
            </w:r>
            <w:r w:rsidRPr="005F2A0F">
              <w:t>prioriti</w:t>
            </w:r>
            <w:r w:rsidR="002B0F45">
              <w:t>s</w:t>
            </w:r>
            <w:r w:rsidRPr="005F2A0F">
              <w:t>ed for implementation</w:t>
            </w:r>
          </w:p>
        </w:tc>
        <w:tc>
          <w:tcPr>
            <w:tcW w:w="833" w:type="pct"/>
          </w:tcPr>
          <w:p w14:paraId="2B8819F1" w14:textId="77777777" w:rsidR="005538F4" w:rsidRPr="005F2A0F" w:rsidRDefault="005538F4" w:rsidP="001B5A8A">
            <w:pPr>
              <w:pStyle w:val="Tablebody0"/>
            </w:pPr>
            <w:r w:rsidRPr="005F2A0F">
              <w:t xml:space="preserve">7 priority risks identified </w:t>
            </w:r>
          </w:p>
        </w:tc>
        <w:tc>
          <w:tcPr>
            <w:tcW w:w="810" w:type="pct"/>
            <w:shd w:val="clear" w:color="auto" w:fill="auto"/>
          </w:tcPr>
          <w:p w14:paraId="1F57F337" w14:textId="51AA046C" w:rsidR="005538F4" w:rsidRPr="005F2A0F" w:rsidRDefault="005538F4" w:rsidP="001B5A8A">
            <w:pPr>
              <w:pStyle w:val="Tablebody0"/>
            </w:pPr>
            <w:r w:rsidRPr="005F2A0F">
              <w:t xml:space="preserve">Corporate </w:t>
            </w:r>
            <w:r w:rsidR="002B0F45">
              <w:t>r</w:t>
            </w:r>
            <w:r w:rsidRPr="005F2A0F">
              <w:t>isk manager</w:t>
            </w:r>
          </w:p>
        </w:tc>
        <w:tc>
          <w:tcPr>
            <w:tcW w:w="805" w:type="pct"/>
            <w:shd w:val="clear" w:color="auto" w:fill="A8EDB3"/>
          </w:tcPr>
          <w:p w14:paraId="0C1A5575" w14:textId="77777777" w:rsidR="005538F4" w:rsidRPr="005F2A0F" w:rsidRDefault="005538F4" w:rsidP="001B5A8A">
            <w:pPr>
              <w:pStyle w:val="Tablebody0"/>
            </w:pPr>
            <w:r w:rsidRPr="005F2A0F">
              <w:t>On track</w:t>
            </w:r>
          </w:p>
        </w:tc>
        <w:tc>
          <w:tcPr>
            <w:tcW w:w="805" w:type="pct"/>
          </w:tcPr>
          <w:p w14:paraId="694D2020" w14:textId="3A4C67D9" w:rsidR="005538F4" w:rsidRPr="005F2A0F" w:rsidRDefault="005538F4" w:rsidP="001B5A8A">
            <w:pPr>
              <w:pStyle w:val="Tablebody0"/>
            </w:pPr>
            <w:r w:rsidRPr="005F2A0F">
              <w:t>Complete – refer</w:t>
            </w:r>
            <w:r w:rsidR="0045343F">
              <w:t xml:space="preserve"> to</w:t>
            </w:r>
            <w:r w:rsidRPr="005F2A0F">
              <w:t xml:space="preserve"> </w:t>
            </w:r>
            <w:r w:rsidRPr="002B0F45">
              <w:rPr>
                <w:highlight w:val="yellow"/>
              </w:rPr>
              <w:t>XYZ</w:t>
            </w:r>
          </w:p>
        </w:tc>
        <w:tc>
          <w:tcPr>
            <w:tcW w:w="727" w:type="pct"/>
          </w:tcPr>
          <w:p w14:paraId="4ED6556C" w14:textId="77777777" w:rsidR="005538F4" w:rsidRPr="005F2A0F" w:rsidRDefault="005538F4" w:rsidP="001B5A8A">
            <w:pPr>
              <w:pStyle w:val="Tablebody0"/>
            </w:pPr>
            <w:r w:rsidRPr="005F2A0F">
              <w:t>Basic</w:t>
            </w:r>
          </w:p>
        </w:tc>
      </w:tr>
      <w:tr w:rsidR="005538F4" w:rsidRPr="005F2A0F" w14:paraId="22130F34" w14:textId="77777777" w:rsidTr="000C0486">
        <w:tc>
          <w:tcPr>
            <w:tcW w:w="1021" w:type="pct"/>
          </w:tcPr>
          <w:p w14:paraId="54B90D05" w14:textId="674886B2" w:rsidR="005538F4" w:rsidRPr="005F2A0F" w:rsidRDefault="005538F4" w:rsidP="001B5A8A">
            <w:pPr>
              <w:pStyle w:val="Tablebody0"/>
            </w:pPr>
            <w:r w:rsidRPr="005F2A0F">
              <w:lastRenderedPageBreak/>
              <w:t>Leadership team ha</w:t>
            </w:r>
            <w:r w:rsidR="002B0F45">
              <w:t>s</w:t>
            </w:r>
            <w:r w:rsidRPr="005F2A0F">
              <w:t xml:space="preserve"> been briefed on the findings of the climate change risk assessment</w:t>
            </w:r>
          </w:p>
        </w:tc>
        <w:tc>
          <w:tcPr>
            <w:tcW w:w="833" w:type="pct"/>
          </w:tcPr>
          <w:p w14:paraId="5A354A1D" w14:textId="26F14E66" w:rsidR="005538F4" w:rsidRPr="005F2A0F" w:rsidRDefault="005538F4" w:rsidP="001B5A8A">
            <w:pPr>
              <w:pStyle w:val="Tablebody0"/>
            </w:pPr>
            <w:r w:rsidRPr="005F2A0F">
              <w:t>Pending completion of risk assessment</w:t>
            </w:r>
          </w:p>
        </w:tc>
        <w:tc>
          <w:tcPr>
            <w:tcW w:w="810" w:type="pct"/>
            <w:shd w:val="clear" w:color="auto" w:fill="auto"/>
          </w:tcPr>
          <w:p w14:paraId="49691772" w14:textId="64644FDA" w:rsidR="005538F4" w:rsidRPr="005F2A0F" w:rsidRDefault="005538F4" w:rsidP="001B5A8A">
            <w:pPr>
              <w:pStyle w:val="Tablebody0"/>
            </w:pPr>
            <w:r w:rsidRPr="005F2A0F">
              <w:t xml:space="preserve">Corporate </w:t>
            </w:r>
            <w:r w:rsidR="00195B36">
              <w:t>r</w:t>
            </w:r>
            <w:r w:rsidRPr="005F2A0F">
              <w:t>isk manager</w:t>
            </w:r>
          </w:p>
        </w:tc>
        <w:tc>
          <w:tcPr>
            <w:tcW w:w="805" w:type="pct"/>
            <w:shd w:val="clear" w:color="auto" w:fill="A8EDB3"/>
          </w:tcPr>
          <w:p w14:paraId="5FB5533E" w14:textId="77777777" w:rsidR="005538F4" w:rsidRPr="005F2A0F" w:rsidRDefault="005538F4" w:rsidP="001B5A8A">
            <w:pPr>
              <w:pStyle w:val="Tablebody0"/>
            </w:pPr>
            <w:r w:rsidRPr="005F2A0F">
              <w:t>Complete</w:t>
            </w:r>
          </w:p>
        </w:tc>
        <w:tc>
          <w:tcPr>
            <w:tcW w:w="805" w:type="pct"/>
          </w:tcPr>
          <w:p w14:paraId="4A4761C4" w14:textId="77777777" w:rsidR="005538F4" w:rsidRPr="005F2A0F" w:rsidRDefault="005538F4" w:rsidP="001B5A8A">
            <w:pPr>
              <w:pStyle w:val="Tablebody0"/>
            </w:pPr>
            <w:r w:rsidRPr="005F2A0F">
              <w:t xml:space="preserve">Leadership team briefed on </w:t>
            </w:r>
            <w:r w:rsidRPr="00195B36">
              <w:rPr>
                <w:highlight w:val="yellow"/>
              </w:rPr>
              <w:t>XYZ</w:t>
            </w:r>
          </w:p>
        </w:tc>
        <w:tc>
          <w:tcPr>
            <w:tcW w:w="727" w:type="pct"/>
          </w:tcPr>
          <w:p w14:paraId="2F7E79CA" w14:textId="77777777" w:rsidR="005538F4" w:rsidRPr="005F2A0F" w:rsidRDefault="005538F4" w:rsidP="001B5A8A">
            <w:pPr>
              <w:pStyle w:val="Tablebody0"/>
            </w:pPr>
            <w:r w:rsidRPr="005F2A0F">
              <w:t>Basic</w:t>
            </w:r>
          </w:p>
        </w:tc>
      </w:tr>
      <w:tr w:rsidR="005538F4" w:rsidRPr="005F2A0F" w14:paraId="21242B3C" w14:textId="77777777" w:rsidTr="000C0486">
        <w:tc>
          <w:tcPr>
            <w:tcW w:w="1021" w:type="pct"/>
          </w:tcPr>
          <w:p w14:paraId="503B090B" w14:textId="125B758D" w:rsidR="005538F4" w:rsidRPr="005F2A0F" w:rsidRDefault="005538F4" w:rsidP="001B5A8A">
            <w:pPr>
              <w:pStyle w:val="Tablebody0"/>
            </w:pPr>
            <w:r w:rsidRPr="005F2A0F">
              <w:t>Adaptation measures have been prioriti</w:t>
            </w:r>
            <w:r w:rsidR="00195B36">
              <w:t>s</w:t>
            </w:r>
            <w:r w:rsidRPr="005F2A0F">
              <w:t>ed for implementation</w:t>
            </w:r>
            <w:r w:rsidR="00195B36">
              <w:t>,</w:t>
            </w:r>
            <w:r w:rsidRPr="005F2A0F">
              <w:t xml:space="preserve"> and cost</w:t>
            </w:r>
            <w:r w:rsidR="00195B36">
              <w:t>–</w:t>
            </w:r>
            <w:r w:rsidRPr="005F2A0F">
              <w:t>benefit assessment has been undertaken</w:t>
            </w:r>
          </w:p>
        </w:tc>
        <w:tc>
          <w:tcPr>
            <w:tcW w:w="833" w:type="pct"/>
          </w:tcPr>
          <w:p w14:paraId="03D6CBF5" w14:textId="59B960A3" w:rsidR="005538F4" w:rsidRPr="005F2A0F" w:rsidRDefault="005538F4" w:rsidP="001B5A8A">
            <w:pPr>
              <w:pStyle w:val="Tablebody0"/>
            </w:pPr>
            <w:r w:rsidRPr="005F2A0F">
              <w:t>12 adaptation measures prioriti</w:t>
            </w:r>
            <w:r w:rsidR="00195B36">
              <w:t>s</w:t>
            </w:r>
            <w:r w:rsidRPr="005F2A0F">
              <w:t xml:space="preserve">ed for </w:t>
            </w:r>
            <w:r w:rsidRPr="007B25E1">
              <w:rPr>
                <w:w w:val="97"/>
              </w:rPr>
              <w:t>implementation</w:t>
            </w:r>
          </w:p>
        </w:tc>
        <w:tc>
          <w:tcPr>
            <w:tcW w:w="810" w:type="pct"/>
          </w:tcPr>
          <w:p w14:paraId="625B2B20" w14:textId="12596D0F" w:rsidR="005538F4" w:rsidRPr="005F2A0F" w:rsidRDefault="005538F4" w:rsidP="001B5A8A">
            <w:pPr>
              <w:pStyle w:val="Tablebody0"/>
            </w:pPr>
            <w:r w:rsidRPr="005F2A0F">
              <w:t>Assessment team</w:t>
            </w:r>
          </w:p>
        </w:tc>
        <w:tc>
          <w:tcPr>
            <w:tcW w:w="805" w:type="pct"/>
            <w:shd w:val="clear" w:color="auto" w:fill="FDE79A"/>
          </w:tcPr>
          <w:p w14:paraId="5E926282" w14:textId="37BD32D2" w:rsidR="005538F4" w:rsidRPr="005F2A0F" w:rsidRDefault="005538F4" w:rsidP="001B5A8A">
            <w:pPr>
              <w:pStyle w:val="Tablebody0"/>
            </w:pPr>
            <w:r w:rsidRPr="005F2A0F">
              <w:t>6 measures implemented. 6 adaptation measures integrated into Council operations</w:t>
            </w:r>
          </w:p>
        </w:tc>
        <w:tc>
          <w:tcPr>
            <w:tcW w:w="805" w:type="pct"/>
          </w:tcPr>
          <w:p w14:paraId="30DA070B" w14:textId="70536173" w:rsidR="005538F4" w:rsidRPr="005F2A0F" w:rsidRDefault="005538F4" w:rsidP="001B5A8A">
            <w:pPr>
              <w:pStyle w:val="Tablebody0"/>
            </w:pPr>
            <w:r w:rsidRPr="005F2A0F">
              <w:t>Cross</w:t>
            </w:r>
            <w:r w:rsidR="00195B36">
              <w:t>-</w:t>
            </w:r>
            <w:r w:rsidRPr="005F2A0F">
              <w:t>reference to risk register</w:t>
            </w:r>
            <w:r w:rsidR="008033F5">
              <w:t>/</w:t>
            </w:r>
            <w:r w:rsidRPr="005F2A0F">
              <w:t>summary of implementation status</w:t>
            </w:r>
            <w:r w:rsidR="008033F5">
              <w:t xml:space="preserve"> against each adaptation action</w:t>
            </w:r>
          </w:p>
        </w:tc>
        <w:tc>
          <w:tcPr>
            <w:tcW w:w="727" w:type="pct"/>
          </w:tcPr>
          <w:p w14:paraId="374D0777" w14:textId="49CE7DB3" w:rsidR="005538F4" w:rsidRPr="005F2A0F" w:rsidRDefault="005538F4" w:rsidP="001B5A8A">
            <w:pPr>
              <w:pStyle w:val="Tablebody0"/>
            </w:pPr>
            <w:r w:rsidRPr="005F2A0F">
              <w:t>Systematic</w:t>
            </w:r>
          </w:p>
        </w:tc>
      </w:tr>
      <w:tr w:rsidR="005538F4" w:rsidRPr="005F2A0F" w14:paraId="6DC8BCB6" w14:textId="77777777" w:rsidTr="000C0486">
        <w:tc>
          <w:tcPr>
            <w:tcW w:w="1021" w:type="pct"/>
          </w:tcPr>
          <w:p w14:paraId="039B6FD2" w14:textId="77777777" w:rsidR="005538F4" w:rsidRPr="005F2A0F" w:rsidRDefault="005538F4" w:rsidP="001B5A8A">
            <w:pPr>
              <w:pStyle w:val="Tablebody0"/>
            </w:pPr>
            <w:r w:rsidRPr="005F2A0F">
              <w:t xml:space="preserve">Funding for implementation of priority adaptation measures has been secured. </w:t>
            </w:r>
          </w:p>
          <w:p w14:paraId="7D1D88A7" w14:textId="11B91EDC" w:rsidR="005538F4" w:rsidRPr="005F2A0F" w:rsidRDefault="005538F4" w:rsidP="001B5A8A">
            <w:pPr>
              <w:pStyle w:val="Tablebody0"/>
            </w:pPr>
            <w:r w:rsidRPr="005F2A0F">
              <w:t>Annual expenditure on climate hazard adaptation</w:t>
            </w:r>
            <w:r w:rsidR="00195B36">
              <w:t xml:space="preserve"> and </w:t>
            </w:r>
            <w:r w:rsidRPr="005F2A0F">
              <w:t>management measures is monitored</w:t>
            </w:r>
            <w:r w:rsidR="00195B36">
              <w:t>,</w:t>
            </w:r>
            <w:r w:rsidRPr="005F2A0F">
              <w:t xml:space="preserve"> and annual budget for supporting resources </w:t>
            </w:r>
            <w:r w:rsidR="00195B36">
              <w:t xml:space="preserve">has been </w:t>
            </w:r>
            <w:r w:rsidRPr="005F2A0F">
              <w:t>established</w:t>
            </w:r>
          </w:p>
        </w:tc>
        <w:tc>
          <w:tcPr>
            <w:tcW w:w="833" w:type="pct"/>
          </w:tcPr>
          <w:p w14:paraId="711065CD" w14:textId="77777777" w:rsidR="005538F4" w:rsidRPr="005F2A0F" w:rsidRDefault="005538F4" w:rsidP="001B5A8A">
            <w:pPr>
              <w:pStyle w:val="Tablebody0"/>
            </w:pPr>
            <w:r w:rsidRPr="005F2A0F">
              <w:t>No funding identified</w:t>
            </w:r>
          </w:p>
        </w:tc>
        <w:tc>
          <w:tcPr>
            <w:tcW w:w="810" w:type="pct"/>
          </w:tcPr>
          <w:p w14:paraId="1D1E627C" w14:textId="77777777" w:rsidR="005538F4" w:rsidRPr="005F2A0F" w:rsidRDefault="005538F4" w:rsidP="001B5A8A">
            <w:pPr>
              <w:pStyle w:val="Tablebody0"/>
            </w:pPr>
            <w:r w:rsidRPr="005F2A0F">
              <w:t>Executive</w:t>
            </w:r>
          </w:p>
        </w:tc>
        <w:tc>
          <w:tcPr>
            <w:tcW w:w="805" w:type="pct"/>
            <w:shd w:val="clear" w:color="auto" w:fill="A8EDB3"/>
          </w:tcPr>
          <w:p w14:paraId="31B4F003" w14:textId="62C5D315" w:rsidR="005538F4" w:rsidRPr="005F2A0F" w:rsidRDefault="005538F4" w:rsidP="001B5A8A">
            <w:pPr>
              <w:pStyle w:val="Tablebody0"/>
            </w:pPr>
            <w:r w:rsidRPr="005F2A0F">
              <w:t xml:space="preserve">Budget secured for </w:t>
            </w:r>
            <w:r w:rsidR="007B25E1">
              <w:br/>
            </w:r>
            <w:r w:rsidRPr="005F2A0F">
              <w:t xml:space="preserve">3-year </w:t>
            </w:r>
            <w:r w:rsidRPr="007B25E1">
              <w:rPr>
                <w:w w:val="93"/>
              </w:rPr>
              <w:t>implementation</w:t>
            </w:r>
            <w:r w:rsidRPr="005F2A0F">
              <w:t xml:space="preserve"> program </w:t>
            </w:r>
          </w:p>
        </w:tc>
        <w:tc>
          <w:tcPr>
            <w:tcW w:w="805" w:type="pct"/>
          </w:tcPr>
          <w:p w14:paraId="05686914" w14:textId="77777777" w:rsidR="005538F4" w:rsidRPr="005F2A0F" w:rsidRDefault="005538F4" w:rsidP="001B5A8A">
            <w:pPr>
              <w:pStyle w:val="Tablebody0"/>
            </w:pPr>
            <w:r w:rsidRPr="005F2A0F">
              <w:t>Summary of confirmed budget</w:t>
            </w:r>
          </w:p>
        </w:tc>
        <w:tc>
          <w:tcPr>
            <w:tcW w:w="727" w:type="pct"/>
          </w:tcPr>
          <w:p w14:paraId="1193CA68" w14:textId="05E1A7CE" w:rsidR="005538F4" w:rsidRPr="005F2A0F" w:rsidRDefault="005538F4" w:rsidP="001B5A8A">
            <w:pPr>
              <w:pStyle w:val="Tablebody0"/>
            </w:pPr>
            <w:r w:rsidRPr="005F2A0F">
              <w:t>Systematic</w:t>
            </w:r>
          </w:p>
        </w:tc>
      </w:tr>
      <w:tr w:rsidR="005538F4" w:rsidRPr="005F2A0F" w14:paraId="3BE7A18F" w14:textId="77777777" w:rsidTr="000C0486">
        <w:tc>
          <w:tcPr>
            <w:tcW w:w="1021" w:type="pct"/>
          </w:tcPr>
          <w:p w14:paraId="48FC9684" w14:textId="5F30B5A0" w:rsidR="005538F4" w:rsidRPr="005F2A0F" w:rsidRDefault="00A12087" w:rsidP="001B5A8A">
            <w:pPr>
              <w:pStyle w:val="Tablebody0"/>
            </w:pPr>
            <w:r>
              <w:t>N</w:t>
            </w:r>
            <w:r w:rsidR="005538F4" w:rsidRPr="005F2A0F">
              <w:t>umber of risks rated a</w:t>
            </w:r>
            <w:r w:rsidR="00195B36">
              <w:t>s</w:t>
            </w:r>
            <w:r w:rsidR="005538F4" w:rsidRPr="005F2A0F">
              <w:t xml:space="preserve"> </w:t>
            </w:r>
            <w:r w:rsidR="00195B36">
              <w:t>m</w:t>
            </w:r>
            <w:r w:rsidR="005538F4" w:rsidRPr="005F2A0F">
              <w:t>edium</w:t>
            </w:r>
            <w:r w:rsidR="00195B36">
              <w:t>, h</w:t>
            </w:r>
            <w:r w:rsidR="005538F4" w:rsidRPr="005F2A0F">
              <w:t>igh</w:t>
            </w:r>
            <w:r w:rsidR="00195B36">
              <w:t xml:space="preserve"> or e</w:t>
            </w:r>
            <w:r w:rsidR="005538F4" w:rsidRPr="005F2A0F">
              <w:t>xtreme ha</w:t>
            </w:r>
            <w:r w:rsidR="00195B36">
              <w:t>s</w:t>
            </w:r>
            <w:r w:rsidR="005538F4" w:rsidRPr="005F2A0F">
              <w:t xml:space="preserve"> been reduced through implementation of adaptation measures</w:t>
            </w:r>
          </w:p>
        </w:tc>
        <w:tc>
          <w:tcPr>
            <w:tcW w:w="833" w:type="pct"/>
          </w:tcPr>
          <w:p w14:paraId="1D271E4C" w14:textId="6AB4B482" w:rsidR="005538F4" w:rsidRPr="005F2A0F" w:rsidRDefault="005538F4" w:rsidP="001B5A8A">
            <w:pPr>
              <w:pStyle w:val="Tablebody0"/>
            </w:pPr>
            <w:r w:rsidRPr="005F2A0F">
              <w:t xml:space="preserve">1 </w:t>
            </w:r>
            <w:r w:rsidR="00195B36">
              <w:t>e</w:t>
            </w:r>
            <w:r w:rsidRPr="005F2A0F">
              <w:t>xtreme risk</w:t>
            </w:r>
          </w:p>
          <w:p w14:paraId="00C20302" w14:textId="317DC2F5" w:rsidR="005538F4" w:rsidRPr="005F2A0F" w:rsidRDefault="005538F4" w:rsidP="001B5A8A">
            <w:pPr>
              <w:pStyle w:val="Tablebody0"/>
            </w:pPr>
            <w:r w:rsidRPr="005F2A0F">
              <w:t xml:space="preserve">3 </w:t>
            </w:r>
            <w:r w:rsidR="00195B36">
              <w:t>h</w:t>
            </w:r>
            <w:r w:rsidRPr="005F2A0F">
              <w:t>igh risks</w:t>
            </w:r>
          </w:p>
          <w:p w14:paraId="2DFA1C73" w14:textId="40AD01C7" w:rsidR="005538F4" w:rsidRPr="005F2A0F" w:rsidRDefault="005538F4" w:rsidP="001B5A8A">
            <w:pPr>
              <w:pStyle w:val="Tablebody0"/>
            </w:pPr>
            <w:r w:rsidRPr="005F2A0F">
              <w:t xml:space="preserve">10 </w:t>
            </w:r>
            <w:r w:rsidR="00195B36">
              <w:t>m</w:t>
            </w:r>
            <w:r w:rsidRPr="005F2A0F">
              <w:t>edium risks</w:t>
            </w:r>
          </w:p>
        </w:tc>
        <w:tc>
          <w:tcPr>
            <w:tcW w:w="810" w:type="pct"/>
          </w:tcPr>
          <w:p w14:paraId="6F222E82" w14:textId="482A01CA" w:rsidR="005538F4" w:rsidRPr="005F2A0F" w:rsidRDefault="005538F4" w:rsidP="001B5A8A">
            <w:pPr>
              <w:pStyle w:val="Tablebody0"/>
            </w:pPr>
            <w:r w:rsidRPr="005F2A0F">
              <w:t xml:space="preserve">Corporate </w:t>
            </w:r>
            <w:r w:rsidR="00195B36">
              <w:t>r</w:t>
            </w:r>
            <w:r w:rsidRPr="005F2A0F">
              <w:t>isk manager</w:t>
            </w:r>
          </w:p>
        </w:tc>
        <w:tc>
          <w:tcPr>
            <w:tcW w:w="805" w:type="pct"/>
            <w:shd w:val="clear" w:color="auto" w:fill="FDE79A"/>
          </w:tcPr>
          <w:p w14:paraId="0D5F288E" w14:textId="77777777" w:rsidR="005538F4" w:rsidRPr="005F2A0F" w:rsidRDefault="005538F4" w:rsidP="001B5A8A">
            <w:pPr>
              <w:pStyle w:val="Tablebody0"/>
            </w:pPr>
            <w:r w:rsidRPr="005F2A0F">
              <w:t>In progress</w:t>
            </w:r>
          </w:p>
        </w:tc>
        <w:tc>
          <w:tcPr>
            <w:tcW w:w="805" w:type="pct"/>
          </w:tcPr>
          <w:p w14:paraId="16A37A13" w14:textId="36529DCD" w:rsidR="005538F4" w:rsidRPr="005F2A0F" w:rsidRDefault="005538F4" w:rsidP="001B5A8A">
            <w:pPr>
              <w:pStyle w:val="Tablebody0"/>
            </w:pPr>
            <w:r w:rsidRPr="005F2A0F">
              <w:t>Risk ratings remain the same, but adaptation measure</w:t>
            </w:r>
            <w:r w:rsidR="00195B36">
              <w:t>s</w:t>
            </w:r>
            <w:r w:rsidRPr="005F2A0F">
              <w:t xml:space="preserve"> have been implemented</w:t>
            </w:r>
          </w:p>
        </w:tc>
        <w:tc>
          <w:tcPr>
            <w:tcW w:w="727" w:type="pct"/>
          </w:tcPr>
          <w:p w14:paraId="188EDE02" w14:textId="77777777" w:rsidR="005538F4" w:rsidRPr="005F2A0F" w:rsidRDefault="005538F4" w:rsidP="001B5A8A">
            <w:pPr>
              <w:pStyle w:val="Tablebody0"/>
            </w:pPr>
            <w:r w:rsidRPr="005F2A0F">
              <w:t>Basic</w:t>
            </w:r>
          </w:p>
        </w:tc>
      </w:tr>
      <w:tr w:rsidR="005538F4" w:rsidRPr="005F2A0F" w14:paraId="006EFA71" w14:textId="77777777" w:rsidTr="000C0486">
        <w:tc>
          <w:tcPr>
            <w:tcW w:w="1021" w:type="pct"/>
          </w:tcPr>
          <w:p w14:paraId="402DB295" w14:textId="77777777" w:rsidR="005538F4" w:rsidRPr="005F2A0F" w:rsidRDefault="005538F4" w:rsidP="001B5A8A">
            <w:pPr>
              <w:pStyle w:val="Tablebody0"/>
            </w:pPr>
            <w:r w:rsidRPr="005F2A0F">
              <w:t>Existing risk assessment tools have been revised to better capture and assess physical climate risks</w:t>
            </w:r>
          </w:p>
        </w:tc>
        <w:tc>
          <w:tcPr>
            <w:tcW w:w="833" w:type="pct"/>
          </w:tcPr>
          <w:p w14:paraId="3428CA7B" w14:textId="0BB8EBA0" w:rsidR="005538F4" w:rsidRPr="005F2A0F" w:rsidRDefault="005538F4" w:rsidP="001B5A8A">
            <w:pPr>
              <w:pStyle w:val="Tablebody0"/>
            </w:pPr>
            <w:r w:rsidRPr="005F2A0F">
              <w:t xml:space="preserve">Existing tools do not include climate </w:t>
            </w:r>
            <w:r w:rsidR="00195B36">
              <w:t>change–</w:t>
            </w:r>
            <w:r w:rsidRPr="005F2A0F">
              <w:t>related risks</w:t>
            </w:r>
          </w:p>
        </w:tc>
        <w:tc>
          <w:tcPr>
            <w:tcW w:w="810" w:type="pct"/>
          </w:tcPr>
          <w:p w14:paraId="1BECAE0C" w14:textId="0E937BB3" w:rsidR="005538F4" w:rsidRPr="005F2A0F" w:rsidRDefault="005538F4" w:rsidP="001B5A8A">
            <w:pPr>
              <w:pStyle w:val="Tablebody0"/>
            </w:pPr>
            <w:r w:rsidRPr="005F2A0F">
              <w:t xml:space="preserve">Corporate </w:t>
            </w:r>
            <w:r w:rsidR="00195B36">
              <w:t>r</w:t>
            </w:r>
            <w:r w:rsidRPr="005F2A0F">
              <w:t>isk manager</w:t>
            </w:r>
          </w:p>
        </w:tc>
        <w:tc>
          <w:tcPr>
            <w:tcW w:w="805" w:type="pct"/>
            <w:shd w:val="clear" w:color="auto" w:fill="A8EDB3"/>
          </w:tcPr>
          <w:p w14:paraId="61DDC245" w14:textId="77777777" w:rsidR="005538F4" w:rsidRPr="005F2A0F" w:rsidRDefault="005538F4" w:rsidP="001B5A8A">
            <w:pPr>
              <w:pStyle w:val="Tablebody0"/>
            </w:pPr>
            <w:r w:rsidRPr="005F2A0F">
              <w:t xml:space="preserve">Corporate risk register includes overarching climate risk </w:t>
            </w:r>
          </w:p>
        </w:tc>
        <w:tc>
          <w:tcPr>
            <w:tcW w:w="805" w:type="pct"/>
          </w:tcPr>
          <w:p w14:paraId="1372CEF3" w14:textId="78F673A0" w:rsidR="005538F4" w:rsidRPr="005F2A0F" w:rsidRDefault="005538F4" w:rsidP="001B5A8A">
            <w:pPr>
              <w:pStyle w:val="Tablebody0"/>
            </w:pPr>
            <w:r w:rsidRPr="005F2A0F">
              <w:t xml:space="preserve">Refer to corporate </w:t>
            </w:r>
            <w:r w:rsidR="008033F5">
              <w:t>risk register</w:t>
            </w:r>
          </w:p>
        </w:tc>
        <w:tc>
          <w:tcPr>
            <w:tcW w:w="727" w:type="pct"/>
          </w:tcPr>
          <w:p w14:paraId="3679F9C0" w14:textId="4AFD4949" w:rsidR="005538F4" w:rsidRPr="005F2A0F" w:rsidRDefault="005538F4" w:rsidP="001B5A8A">
            <w:pPr>
              <w:pStyle w:val="Tablebody0"/>
            </w:pPr>
            <w:r w:rsidRPr="005F2A0F">
              <w:t>Repeatable</w:t>
            </w:r>
          </w:p>
        </w:tc>
      </w:tr>
      <w:tr w:rsidR="005538F4" w:rsidRPr="005F2A0F" w14:paraId="46A97016" w14:textId="77777777" w:rsidTr="000C0486">
        <w:tc>
          <w:tcPr>
            <w:tcW w:w="1021" w:type="pct"/>
          </w:tcPr>
          <w:p w14:paraId="3C8A83AA" w14:textId="2AF1C4BA" w:rsidR="005538F4" w:rsidRPr="005F2A0F" w:rsidRDefault="00195B36" w:rsidP="001B5A8A">
            <w:pPr>
              <w:pStyle w:val="Tablebody0"/>
            </w:pPr>
            <w:r>
              <w:t>C</w:t>
            </w:r>
            <w:r w:rsidR="005538F4" w:rsidRPr="005F2A0F">
              <w:t xml:space="preserve">ouncil resolution has been passed </w:t>
            </w:r>
            <w:r>
              <w:t>on</w:t>
            </w:r>
            <w:r w:rsidRPr="005F2A0F">
              <w:t xml:space="preserve"> </w:t>
            </w:r>
            <w:r w:rsidR="005538F4" w:rsidRPr="005F2A0F">
              <w:t xml:space="preserve">climate risk assessment and adaptation, </w:t>
            </w:r>
            <w:r>
              <w:t xml:space="preserve">and </w:t>
            </w:r>
            <w:r w:rsidR="005538F4" w:rsidRPr="005F2A0F">
              <w:t xml:space="preserve">a policy </w:t>
            </w:r>
            <w:r>
              <w:t xml:space="preserve">has been </w:t>
            </w:r>
            <w:r w:rsidR="005538F4" w:rsidRPr="005F2A0F">
              <w:lastRenderedPageBreak/>
              <w:t>developed and implemented</w:t>
            </w:r>
          </w:p>
        </w:tc>
        <w:tc>
          <w:tcPr>
            <w:tcW w:w="833" w:type="pct"/>
          </w:tcPr>
          <w:p w14:paraId="28E9D698" w14:textId="77777777" w:rsidR="005538F4" w:rsidRPr="005F2A0F" w:rsidRDefault="005538F4" w:rsidP="001B5A8A">
            <w:pPr>
              <w:pStyle w:val="Tablebody0"/>
            </w:pPr>
            <w:r w:rsidRPr="005F2A0F">
              <w:lastRenderedPageBreak/>
              <w:t>No policy in place</w:t>
            </w:r>
          </w:p>
        </w:tc>
        <w:tc>
          <w:tcPr>
            <w:tcW w:w="810" w:type="pct"/>
          </w:tcPr>
          <w:p w14:paraId="2DDA4F40" w14:textId="77777777" w:rsidR="005538F4" w:rsidRPr="005F2A0F" w:rsidRDefault="005538F4" w:rsidP="001B5A8A">
            <w:pPr>
              <w:pStyle w:val="Tablebody0"/>
            </w:pPr>
            <w:r w:rsidRPr="005F2A0F">
              <w:t>Executive</w:t>
            </w:r>
          </w:p>
        </w:tc>
        <w:tc>
          <w:tcPr>
            <w:tcW w:w="805" w:type="pct"/>
            <w:shd w:val="clear" w:color="auto" w:fill="A8EDB3"/>
          </w:tcPr>
          <w:p w14:paraId="2B1F0F69" w14:textId="77777777" w:rsidR="005538F4" w:rsidRPr="005F2A0F" w:rsidRDefault="005538F4" w:rsidP="001B5A8A">
            <w:pPr>
              <w:pStyle w:val="Tablebody0"/>
            </w:pPr>
            <w:r w:rsidRPr="005F2A0F">
              <w:t xml:space="preserve">Complete </w:t>
            </w:r>
          </w:p>
        </w:tc>
        <w:tc>
          <w:tcPr>
            <w:tcW w:w="805" w:type="pct"/>
          </w:tcPr>
          <w:p w14:paraId="619EFBB8" w14:textId="20A60E44" w:rsidR="005538F4" w:rsidRPr="005F2A0F" w:rsidRDefault="005538F4" w:rsidP="001B5A8A">
            <w:pPr>
              <w:pStyle w:val="Tablebody0"/>
            </w:pPr>
            <w:r w:rsidRPr="005F2A0F">
              <w:t>Policy name and date approved</w:t>
            </w:r>
          </w:p>
        </w:tc>
        <w:tc>
          <w:tcPr>
            <w:tcW w:w="727" w:type="pct"/>
          </w:tcPr>
          <w:p w14:paraId="2B2BB41C" w14:textId="1814DD4D" w:rsidR="005538F4" w:rsidRPr="005F2A0F" w:rsidRDefault="005538F4" w:rsidP="001B5A8A">
            <w:pPr>
              <w:pStyle w:val="Tablebody0"/>
            </w:pPr>
            <w:r w:rsidRPr="005F2A0F">
              <w:t>Systematic</w:t>
            </w:r>
          </w:p>
        </w:tc>
      </w:tr>
      <w:tr w:rsidR="005538F4" w:rsidRPr="005F2A0F" w14:paraId="4784F684" w14:textId="77777777" w:rsidTr="000C0486">
        <w:tc>
          <w:tcPr>
            <w:tcW w:w="1021" w:type="pct"/>
          </w:tcPr>
          <w:p w14:paraId="6D3DD4A1" w14:textId="737AA29E" w:rsidR="005538F4" w:rsidRPr="005F2A0F" w:rsidRDefault="005538F4" w:rsidP="001B5A8A">
            <w:pPr>
              <w:pStyle w:val="Tablebody0"/>
            </w:pPr>
            <w:r w:rsidRPr="005F2A0F">
              <w:t>A climate risk management subcommittee (or similar) has been established</w:t>
            </w:r>
          </w:p>
        </w:tc>
        <w:tc>
          <w:tcPr>
            <w:tcW w:w="833" w:type="pct"/>
          </w:tcPr>
          <w:p w14:paraId="7813201E" w14:textId="27645061" w:rsidR="005538F4" w:rsidRPr="005F2A0F" w:rsidRDefault="005538F4" w:rsidP="001B5A8A">
            <w:pPr>
              <w:pStyle w:val="Tablebody0"/>
            </w:pPr>
            <w:r w:rsidRPr="005F2A0F">
              <w:t>Exis</w:t>
            </w:r>
            <w:r w:rsidR="008033F5">
              <w:t>ting informal group established</w:t>
            </w:r>
          </w:p>
        </w:tc>
        <w:tc>
          <w:tcPr>
            <w:tcW w:w="810" w:type="pct"/>
          </w:tcPr>
          <w:p w14:paraId="10C41404" w14:textId="4E6C71A7" w:rsidR="005538F4" w:rsidRPr="005F2A0F" w:rsidRDefault="005538F4" w:rsidP="001B5A8A">
            <w:pPr>
              <w:pStyle w:val="Tablebody0"/>
            </w:pPr>
            <w:r w:rsidRPr="005F2A0F">
              <w:t>Assessment team</w:t>
            </w:r>
          </w:p>
        </w:tc>
        <w:tc>
          <w:tcPr>
            <w:tcW w:w="805" w:type="pct"/>
            <w:shd w:val="clear" w:color="auto" w:fill="A8EDB3"/>
          </w:tcPr>
          <w:p w14:paraId="4D408D55" w14:textId="77777777" w:rsidR="005538F4" w:rsidRPr="005F2A0F" w:rsidRDefault="005538F4" w:rsidP="001B5A8A">
            <w:pPr>
              <w:pStyle w:val="Tablebody0"/>
            </w:pPr>
            <w:r w:rsidRPr="005F2A0F">
              <w:t>Complete</w:t>
            </w:r>
          </w:p>
        </w:tc>
        <w:tc>
          <w:tcPr>
            <w:tcW w:w="805" w:type="pct"/>
          </w:tcPr>
          <w:p w14:paraId="407AD257" w14:textId="7C838B34" w:rsidR="005538F4" w:rsidRPr="005F2A0F" w:rsidRDefault="005538F4" w:rsidP="001B5A8A">
            <w:pPr>
              <w:pStyle w:val="Tablebody0"/>
            </w:pPr>
            <w:r w:rsidRPr="005F2A0F">
              <w:t xml:space="preserve">Working </w:t>
            </w:r>
            <w:r w:rsidR="00195B36">
              <w:t>g</w:t>
            </w:r>
            <w:r w:rsidRPr="005F2A0F">
              <w:t>roup formali</w:t>
            </w:r>
            <w:r w:rsidR="00195B36">
              <w:t>s</w:t>
            </w:r>
            <w:r w:rsidRPr="005F2A0F">
              <w:t>ed</w:t>
            </w:r>
          </w:p>
        </w:tc>
        <w:tc>
          <w:tcPr>
            <w:tcW w:w="727" w:type="pct"/>
          </w:tcPr>
          <w:p w14:paraId="42E432FD" w14:textId="5D803FD4" w:rsidR="005538F4" w:rsidRPr="005F2A0F" w:rsidRDefault="005538F4" w:rsidP="001B5A8A">
            <w:pPr>
              <w:pStyle w:val="Tablebody0"/>
            </w:pPr>
            <w:r w:rsidRPr="005F2A0F">
              <w:t>Systematic</w:t>
            </w:r>
          </w:p>
        </w:tc>
      </w:tr>
      <w:tr w:rsidR="005538F4" w:rsidRPr="005F2A0F" w14:paraId="2B5FF629" w14:textId="77777777" w:rsidTr="000C0486">
        <w:tc>
          <w:tcPr>
            <w:tcW w:w="1021" w:type="pct"/>
          </w:tcPr>
          <w:p w14:paraId="52F2014A" w14:textId="1C1D7E43" w:rsidR="005538F4" w:rsidRPr="005F2A0F" w:rsidRDefault="005538F4" w:rsidP="001B5A8A">
            <w:pPr>
              <w:pStyle w:val="Tablebody0"/>
            </w:pPr>
            <w:r w:rsidRPr="005F2A0F">
              <w:t>Climate change risk assessment team involved in post</w:t>
            </w:r>
            <w:r w:rsidR="00195B36">
              <w:t>–</w:t>
            </w:r>
            <w:r w:rsidRPr="005F2A0F">
              <w:t>hazardous event debriefs</w:t>
            </w:r>
          </w:p>
        </w:tc>
        <w:tc>
          <w:tcPr>
            <w:tcW w:w="833" w:type="pct"/>
          </w:tcPr>
          <w:p w14:paraId="29285DD5" w14:textId="32818670" w:rsidR="005538F4" w:rsidRPr="005F2A0F" w:rsidRDefault="005538F4" w:rsidP="001B5A8A">
            <w:pPr>
              <w:pStyle w:val="Tablebody0"/>
            </w:pPr>
            <w:r w:rsidRPr="005F2A0F">
              <w:t>Involved in an ad</w:t>
            </w:r>
            <w:r w:rsidR="00195B36">
              <w:t xml:space="preserve"> </w:t>
            </w:r>
            <w:r w:rsidRPr="005F2A0F">
              <w:t>hoc manner</w:t>
            </w:r>
          </w:p>
        </w:tc>
        <w:tc>
          <w:tcPr>
            <w:tcW w:w="810" w:type="pct"/>
          </w:tcPr>
          <w:p w14:paraId="0CA48814" w14:textId="2E0F5613" w:rsidR="005538F4" w:rsidRPr="005F2A0F" w:rsidRDefault="005538F4" w:rsidP="001B5A8A">
            <w:pPr>
              <w:pStyle w:val="Tablebody0"/>
            </w:pPr>
            <w:r w:rsidRPr="005F2A0F">
              <w:t xml:space="preserve">Corporate </w:t>
            </w:r>
            <w:r w:rsidR="00195B36">
              <w:t>r</w:t>
            </w:r>
            <w:r w:rsidRPr="005F2A0F">
              <w:t>isk manager</w:t>
            </w:r>
          </w:p>
        </w:tc>
        <w:tc>
          <w:tcPr>
            <w:tcW w:w="805" w:type="pct"/>
            <w:shd w:val="clear" w:color="auto" w:fill="A8EDB3"/>
          </w:tcPr>
          <w:p w14:paraId="1F05169F" w14:textId="77777777" w:rsidR="005538F4" w:rsidRPr="005F2A0F" w:rsidRDefault="005538F4" w:rsidP="001B5A8A">
            <w:pPr>
              <w:pStyle w:val="Tablebody0"/>
            </w:pPr>
            <w:r w:rsidRPr="005F2A0F">
              <w:t xml:space="preserve">On track </w:t>
            </w:r>
          </w:p>
        </w:tc>
        <w:tc>
          <w:tcPr>
            <w:tcW w:w="805" w:type="pct"/>
          </w:tcPr>
          <w:p w14:paraId="2141A3CF" w14:textId="23052724" w:rsidR="005538F4" w:rsidRPr="005F2A0F" w:rsidRDefault="005538F4" w:rsidP="001B5A8A">
            <w:pPr>
              <w:pStyle w:val="Tablebody0"/>
            </w:pPr>
            <w:r w:rsidRPr="005F2A0F">
              <w:t>Hazard event has triggered review of Council design specifications</w:t>
            </w:r>
          </w:p>
        </w:tc>
        <w:tc>
          <w:tcPr>
            <w:tcW w:w="727" w:type="pct"/>
          </w:tcPr>
          <w:p w14:paraId="6E361211" w14:textId="77777777" w:rsidR="005538F4" w:rsidRPr="005F2A0F" w:rsidRDefault="005538F4" w:rsidP="001B5A8A">
            <w:pPr>
              <w:pStyle w:val="Tablebody0"/>
            </w:pPr>
            <w:r w:rsidRPr="005F2A0F">
              <w:t>Basic</w:t>
            </w:r>
          </w:p>
        </w:tc>
      </w:tr>
    </w:tbl>
    <w:p w14:paraId="1B735099" w14:textId="77777777" w:rsidR="005538F4" w:rsidRPr="005F2A0F" w:rsidRDefault="005538F4" w:rsidP="005538F4">
      <w:r w:rsidRPr="005F2A0F">
        <w:br w:type="page"/>
      </w:r>
    </w:p>
    <w:p w14:paraId="31E7BEEC" w14:textId="77777777" w:rsidR="005538F4" w:rsidRDefault="005538F4" w:rsidP="00357FE4">
      <w:pPr>
        <w:pStyle w:val="Heading218pt"/>
      </w:pPr>
      <w:r w:rsidRPr="005F2A0F">
        <w:lastRenderedPageBreak/>
        <w:t xml:space="preserve">Long list of example metrics and targets </w:t>
      </w:r>
    </w:p>
    <w:tbl>
      <w:tblPr>
        <w:tblStyle w:val="NSW-DPIEExplanatoryText"/>
        <w:tblW w:w="0" w:type="auto"/>
        <w:tblLook w:val="04A0" w:firstRow="1" w:lastRow="0" w:firstColumn="1" w:lastColumn="0" w:noHBand="0" w:noVBand="1"/>
      </w:tblPr>
      <w:tblGrid>
        <w:gridCol w:w="9356"/>
      </w:tblGrid>
      <w:tr w:rsidR="00E24451" w14:paraId="0C8E78A1" w14:textId="77777777" w:rsidTr="001B5A8A">
        <w:trPr>
          <w:trHeight w:val="1275"/>
        </w:trPr>
        <w:tc>
          <w:tcPr>
            <w:tcW w:w="9356" w:type="dxa"/>
          </w:tcPr>
          <w:p w14:paraId="70551EE0" w14:textId="66620DC7" w:rsidR="00E24451" w:rsidRDefault="00E24451" w:rsidP="001B5A8A">
            <w:pPr>
              <w:pStyle w:val="Body0"/>
            </w:pPr>
            <w:r w:rsidRPr="005F2A0F">
              <w:t>The table below provides a non-exhaustive list of example potential metrics and targets aligned to a range of maturity</w:t>
            </w:r>
            <w:r w:rsidR="009A2766">
              <w:t>,</w:t>
            </w:r>
            <w:r w:rsidRPr="005F2A0F">
              <w:t xml:space="preserve"> levels. Metrics and targets should integrate and build upon lower levels of maturity</w:t>
            </w:r>
            <w:r w:rsidR="00A12087">
              <w:t>,</w:t>
            </w:r>
            <w:r w:rsidRPr="005F2A0F">
              <w:t xml:space="preserve"> as needed. </w:t>
            </w:r>
            <w:r w:rsidRPr="001B5A8A">
              <w:t xml:space="preserve">Council may also wish to adopt metrics and targets relating to maturity levels beyond </w:t>
            </w:r>
            <w:r w:rsidR="00A12087">
              <w:t>its</w:t>
            </w:r>
            <w:r w:rsidR="00A12087" w:rsidRPr="001B5A8A">
              <w:t xml:space="preserve"> </w:t>
            </w:r>
            <w:r w:rsidRPr="001B5A8A">
              <w:t>current stage</w:t>
            </w:r>
            <w:r w:rsidRPr="005F2A0F">
              <w:t xml:space="preserve"> of maturity to support growth or recogni</w:t>
            </w:r>
            <w:r w:rsidR="00A12087">
              <w:t>s</w:t>
            </w:r>
            <w:r w:rsidRPr="005F2A0F">
              <w:t>e areas where Council demonstrates greater maturity.</w:t>
            </w:r>
          </w:p>
        </w:tc>
      </w:tr>
    </w:tbl>
    <w:p w14:paraId="433C327E" w14:textId="06E620A3" w:rsidR="00E24451" w:rsidRPr="005F2A0F" w:rsidRDefault="00E24451" w:rsidP="001B5A8A">
      <w:pPr>
        <w:pStyle w:val="Body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558"/>
      </w:tblGrid>
      <w:tr w:rsidR="005538F4" w:rsidRPr="005F2A0F" w14:paraId="2FFA3D96" w14:textId="77777777" w:rsidTr="006C7845">
        <w:trPr>
          <w:trHeight w:val="394"/>
          <w:tblHeader/>
        </w:trPr>
        <w:tc>
          <w:tcPr>
            <w:tcW w:w="7792" w:type="dxa"/>
            <w:shd w:val="clear" w:color="auto" w:fill="002664"/>
          </w:tcPr>
          <w:p w14:paraId="578A5E67" w14:textId="77777777" w:rsidR="005538F4" w:rsidRPr="005F2A0F" w:rsidRDefault="005538F4" w:rsidP="007B25E1">
            <w:pPr>
              <w:pStyle w:val="Tablecellheader"/>
            </w:pPr>
            <w:r w:rsidRPr="005F2A0F">
              <w:t>Metrics and targets</w:t>
            </w:r>
          </w:p>
        </w:tc>
        <w:tc>
          <w:tcPr>
            <w:tcW w:w="1558" w:type="dxa"/>
            <w:shd w:val="clear" w:color="auto" w:fill="002664"/>
          </w:tcPr>
          <w:p w14:paraId="72548835" w14:textId="5D6BA025" w:rsidR="005538F4" w:rsidRPr="005F2A0F" w:rsidRDefault="005538F4" w:rsidP="007B25E1">
            <w:pPr>
              <w:pStyle w:val="Tablecellheader"/>
            </w:pPr>
            <w:r w:rsidRPr="005F2A0F">
              <w:t xml:space="preserve">Indicative maturity level </w:t>
            </w:r>
          </w:p>
        </w:tc>
      </w:tr>
      <w:tr w:rsidR="005538F4" w:rsidRPr="005F2A0F" w14:paraId="1E6C2B49" w14:textId="77777777" w:rsidTr="006C7845">
        <w:tc>
          <w:tcPr>
            <w:tcW w:w="9350" w:type="dxa"/>
            <w:gridSpan w:val="2"/>
          </w:tcPr>
          <w:p w14:paraId="2E195F5C" w14:textId="77777777" w:rsidR="005538F4" w:rsidRPr="005F2A0F" w:rsidRDefault="005538F4" w:rsidP="005F20A0">
            <w:pPr>
              <w:pStyle w:val="Bodybold-spaceabove"/>
            </w:pPr>
            <w:r w:rsidRPr="005F2A0F">
              <w:t>Implementation of adaptation measures</w:t>
            </w:r>
          </w:p>
        </w:tc>
      </w:tr>
      <w:tr w:rsidR="005538F4" w:rsidRPr="005F2A0F" w14:paraId="7660507E" w14:textId="77777777" w:rsidTr="006C7845">
        <w:tc>
          <w:tcPr>
            <w:tcW w:w="7792" w:type="dxa"/>
          </w:tcPr>
          <w:p w14:paraId="36C54159" w14:textId="08C44245" w:rsidR="005538F4" w:rsidRPr="005F2A0F" w:rsidRDefault="005538F4" w:rsidP="001B5A8A">
            <w:pPr>
              <w:pStyle w:val="Bullet1"/>
            </w:pPr>
            <w:r w:rsidRPr="005F2A0F">
              <w:t>Current climate risk manage</w:t>
            </w:r>
            <w:r w:rsidR="008033F5">
              <w:t>ment maturity has been assessed</w:t>
            </w:r>
          </w:p>
        </w:tc>
        <w:tc>
          <w:tcPr>
            <w:tcW w:w="1558" w:type="dxa"/>
          </w:tcPr>
          <w:p w14:paraId="4868C527" w14:textId="77777777" w:rsidR="005538F4" w:rsidRPr="00357FE4" w:rsidRDefault="005538F4" w:rsidP="00E24451">
            <w:pPr>
              <w:pStyle w:val="BodyBold"/>
            </w:pPr>
            <w:r w:rsidRPr="00357FE4">
              <w:t xml:space="preserve">Basic </w:t>
            </w:r>
          </w:p>
        </w:tc>
      </w:tr>
      <w:tr w:rsidR="005538F4" w:rsidRPr="005F2A0F" w14:paraId="7EBC3EE0" w14:textId="77777777" w:rsidTr="006C7845">
        <w:tc>
          <w:tcPr>
            <w:tcW w:w="7792" w:type="dxa"/>
          </w:tcPr>
          <w:p w14:paraId="67FCDE1E" w14:textId="5AB7753E" w:rsidR="005538F4" w:rsidRPr="005F2A0F" w:rsidRDefault="005538F4" w:rsidP="001B5A8A">
            <w:pPr>
              <w:pStyle w:val="Bullet1"/>
            </w:pPr>
            <w:r w:rsidRPr="005F2A0F">
              <w:t>Risks have been mapped against Council’s success criteria</w:t>
            </w:r>
            <w:r w:rsidR="00A12087">
              <w:t>,</w:t>
            </w:r>
            <w:r w:rsidRPr="005F2A0F">
              <w:t xml:space="preserve"> and adaptation measures </w:t>
            </w:r>
            <w:r w:rsidR="00A12087">
              <w:t xml:space="preserve">have been </w:t>
            </w:r>
            <w:r w:rsidRPr="005F2A0F">
              <w:t>prioriti</w:t>
            </w:r>
            <w:r w:rsidR="00A12087">
              <w:t>s</w:t>
            </w:r>
            <w:r w:rsidRPr="005F2A0F">
              <w:t>ed for implementation</w:t>
            </w:r>
          </w:p>
        </w:tc>
        <w:tc>
          <w:tcPr>
            <w:tcW w:w="1558" w:type="dxa"/>
          </w:tcPr>
          <w:p w14:paraId="6AE217E9" w14:textId="77777777" w:rsidR="005538F4" w:rsidRPr="00357FE4" w:rsidRDefault="005538F4" w:rsidP="00E24451">
            <w:pPr>
              <w:pStyle w:val="BodyBold"/>
            </w:pPr>
            <w:r w:rsidRPr="00357FE4">
              <w:t xml:space="preserve">Basic </w:t>
            </w:r>
          </w:p>
        </w:tc>
      </w:tr>
      <w:tr w:rsidR="005538F4" w:rsidRPr="005F2A0F" w14:paraId="4E1DB1A2" w14:textId="77777777" w:rsidTr="006C7845">
        <w:tc>
          <w:tcPr>
            <w:tcW w:w="7792" w:type="dxa"/>
          </w:tcPr>
          <w:p w14:paraId="16C513AF" w14:textId="4B199F38" w:rsidR="005538F4" w:rsidRPr="005F2A0F" w:rsidRDefault="005538F4" w:rsidP="001B5A8A">
            <w:pPr>
              <w:pStyle w:val="Bullet1"/>
            </w:pPr>
            <w:r w:rsidRPr="005F2A0F">
              <w:t>Leadership team ha</w:t>
            </w:r>
            <w:r w:rsidR="00A12087">
              <w:t>s</w:t>
            </w:r>
            <w:r w:rsidRPr="005F2A0F">
              <w:t xml:space="preserve"> been briefed on the findings of the climate change risk assessment</w:t>
            </w:r>
          </w:p>
        </w:tc>
        <w:tc>
          <w:tcPr>
            <w:tcW w:w="1558" w:type="dxa"/>
          </w:tcPr>
          <w:p w14:paraId="2190E13D" w14:textId="77777777" w:rsidR="005538F4" w:rsidRPr="00357FE4" w:rsidRDefault="005538F4" w:rsidP="00E24451">
            <w:pPr>
              <w:pStyle w:val="BodyBold"/>
            </w:pPr>
            <w:r w:rsidRPr="00357FE4">
              <w:t xml:space="preserve">Basic </w:t>
            </w:r>
          </w:p>
        </w:tc>
      </w:tr>
      <w:tr w:rsidR="005538F4" w:rsidRPr="005F2A0F" w14:paraId="1B96B942" w14:textId="77777777" w:rsidTr="006C7845">
        <w:tc>
          <w:tcPr>
            <w:tcW w:w="7792" w:type="dxa"/>
          </w:tcPr>
          <w:p w14:paraId="643470D6" w14:textId="30FDFD10" w:rsidR="005538F4" w:rsidRPr="005F2A0F" w:rsidRDefault="005538F4" w:rsidP="001B5A8A">
            <w:pPr>
              <w:pStyle w:val="Bullet1"/>
            </w:pPr>
            <w:r w:rsidRPr="005F2A0F">
              <w:t xml:space="preserve">Number of adaptation measures </w:t>
            </w:r>
            <w:r w:rsidR="00A12087">
              <w:t>that</w:t>
            </w:r>
            <w:r w:rsidR="00A12087" w:rsidRPr="005F2A0F">
              <w:t xml:space="preserve"> </w:t>
            </w:r>
            <w:r w:rsidRPr="005F2A0F">
              <w:t>have been implemented</w:t>
            </w:r>
          </w:p>
        </w:tc>
        <w:tc>
          <w:tcPr>
            <w:tcW w:w="1558" w:type="dxa"/>
          </w:tcPr>
          <w:p w14:paraId="4AD9AB8A" w14:textId="77777777" w:rsidR="005538F4" w:rsidRPr="00357FE4" w:rsidRDefault="005538F4" w:rsidP="00E24451">
            <w:pPr>
              <w:pStyle w:val="BodyBold"/>
            </w:pPr>
            <w:r w:rsidRPr="00357FE4">
              <w:t xml:space="preserve">Basic </w:t>
            </w:r>
          </w:p>
        </w:tc>
      </w:tr>
      <w:tr w:rsidR="005538F4" w:rsidRPr="005F2A0F" w14:paraId="028877F2" w14:textId="77777777" w:rsidTr="006C7845">
        <w:tc>
          <w:tcPr>
            <w:tcW w:w="7792" w:type="dxa"/>
          </w:tcPr>
          <w:p w14:paraId="004DD094" w14:textId="1AE220DD" w:rsidR="005538F4" w:rsidRPr="005F2A0F" w:rsidRDefault="005538F4" w:rsidP="001B5A8A">
            <w:pPr>
              <w:pStyle w:val="Bullet1"/>
            </w:pPr>
            <w:r w:rsidRPr="005F2A0F">
              <w:t>Climate change risk assessment team involved in post</w:t>
            </w:r>
            <w:r w:rsidR="00A12087">
              <w:t>–</w:t>
            </w:r>
            <w:r w:rsidRPr="005F2A0F">
              <w:t>hazardous event debriefs</w:t>
            </w:r>
          </w:p>
        </w:tc>
        <w:tc>
          <w:tcPr>
            <w:tcW w:w="1558" w:type="dxa"/>
          </w:tcPr>
          <w:p w14:paraId="444768B3" w14:textId="77777777" w:rsidR="005538F4" w:rsidRPr="00357FE4" w:rsidRDefault="005538F4" w:rsidP="00E24451">
            <w:pPr>
              <w:pStyle w:val="BodyBold"/>
            </w:pPr>
            <w:r w:rsidRPr="00357FE4">
              <w:t>Basic</w:t>
            </w:r>
          </w:p>
        </w:tc>
      </w:tr>
      <w:tr w:rsidR="005538F4" w:rsidRPr="005F2A0F" w14:paraId="75274E42" w14:textId="77777777" w:rsidTr="006C7845">
        <w:tc>
          <w:tcPr>
            <w:tcW w:w="7792" w:type="dxa"/>
          </w:tcPr>
          <w:p w14:paraId="486E2367" w14:textId="6F325535" w:rsidR="005538F4" w:rsidRPr="005F2A0F" w:rsidRDefault="00A12087" w:rsidP="001B5A8A">
            <w:pPr>
              <w:pStyle w:val="Bullet1"/>
            </w:pPr>
            <w:r>
              <w:t>N</w:t>
            </w:r>
            <w:r w:rsidR="005538F4" w:rsidRPr="005F2A0F">
              <w:t>umber of risks rated a</w:t>
            </w:r>
            <w:r>
              <w:t>s</w:t>
            </w:r>
            <w:r w:rsidR="005538F4" w:rsidRPr="005F2A0F">
              <w:t xml:space="preserve"> </w:t>
            </w:r>
            <w:r>
              <w:t>m</w:t>
            </w:r>
            <w:r w:rsidR="005538F4" w:rsidRPr="005F2A0F">
              <w:t>edium</w:t>
            </w:r>
            <w:r>
              <w:t>, h</w:t>
            </w:r>
            <w:r w:rsidR="005538F4" w:rsidRPr="005F2A0F">
              <w:t>igh</w:t>
            </w:r>
            <w:r>
              <w:t xml:space="preserve"> or e</w:t>
            </w:r>
            <w:r w:rsidR="005538F4" w:rsidRPr="005F2A0F">
              <w:t>xtreme ha</w:t>
            </w:r>
            <w:r>
              <w:t>s</w:t>
            </w:r>
            <w:r w:rsidR="005538F4" w:rsidRPr="005F2A0F">
              <w:t xml:space="preserve"> been reduced through implementation of adaptation measures</w:t>
            </w:r>
          </w:p>
        </w:tc>
        <w:tc>
          <w:tcPr>
            <w:tcW w:w="1558" w:type="dxa"/>
          </w:tcPr>
          <w:p w14:paraId="445111DE" w14:textId="77777777" w:rsidR="005538F4" w:rsidRPr="00357FE4" w:rsidRDefault="005538F4" w:rsidP="00E24451">
            <w:pPr>
              <w:pStyle w:val="BodyBold"/>
            </w:pPr>
            <w:r w:rsidRPr="00357FE4">
              <w:t>Basic</w:t>
            </w:r>
          </w:p>
        </w:tc>
      </w:tr>
      <w:tr w:rsidR="005538F4" w:rsidRPr="005F2A0F" w14:paraId="60FCD47D" w14:textId="77777777" w:rsidTr="006C7845">
        <w:tc>
          <w:tcPr>
            <w:tcW w:w="7792" w:type="dxa"/>
          </w:tcPr>
          <w:p w14:paraId="7FF2274B" w14:textId="78FBB7DB" w:rsidR="005538F4" w:rsidRPr="005F2A0F" w:rsidRDefault="005538F4" w:rsidP="001B5A8A">
            <w:pPr>
              <w:pStyle w:val="Bullet1"/>
            </w:pPr>
            <w:r w:rsidRPr="005F2A0F">
              <w:t xml:space="preserve">Number of adaptation measures </w:t>
            </w:r>
            <w:r w:rsidR="00A12087">
              <w:t>that</w:t>
            </w:r>
            <w:r w:rsidR="00A12087" w:rsidRPr="005F2A0F">
              <w:t xml:space="preserve"> </w:t>
            </w:r>
            <w:r w:rsidRPr="005F2A0F">
              <w:t>have progressed beyond scoping</w:t>
            </w:r>
            <w:r w:rsidR="008033F5">
              <w:t>/</w:t>
            </w:r>
            <w:r w:rsidRPr="005F2A0F">
              <w:t>design</w:t>
            </w:r>
            <w:r w:rsidR="008033F5">
              <w:t>/</w:t>
            </w:r>
            <w:r w:rsidRPr="005F2A0F">
              <w:t>business case stage into implementation</w:t>
            </w:r>
          </w:p>
        </w:tc>
        <w:tc>
          <w:tcPr>
            <w:tcW w:w="1558" w:type="dxa"/>
          </w:tcPr>
          <w:p w14:paraId="07DA690D" w14:textId="77777777" w:rsidR="005538F4" w:rsidRPr="00357FE4" w:rsidRDefault="005538F4" w:rsidP="00E24451">
            <w:pPr>
              <w:pStyle w:val="BodyBold"/>
            </w:pPr>
            <w:r w:rsidRPr="00357FE4">
              <w:t xml:space="preserve">Repeatable </w:t>
            </w:r>
          </w:p>
        </w:tc>
      </w:tr>
      <w:tr w:rsidR="005538F4" w:rsidRPr="005F2A0F" w14:paraId="31DCE4BE" w14:textId="77777777" w:rsidTr="006C7845">
        <w:tc>
          <w:tcPr>
            <w:tcW w:w="7792" w:type="dxa"/>
          </w:tcPr>
          <w:p w14:paraId="5E70A529" w14:textId="77777777" w:rsidR="005538F4" w:rsidRPr="005F2A0F" w:rsidRDefault="005538F4" w:rsidP="001B5A8A">
            <w:pPr>
              <w:pStyle w:val="Bullet1"/>
            </w:pPr>
            <w:r w:rsidRPr="005F2A0F">
              <w:t>Existing risk assessment tools have been revised to better capture and assess physical climate risks</w:t>
            </w:r>
          </w:p>
        </w:tc>
        <w:tc>
          <w:tcPr>
            <w:tcW w:w="1558" w:type="dxa"/>
          </w:tcPr>
          <w:p w14:paraId="227D095C" w14:textId="77777777" w:rsidR="005538F4" w:rsidRPr="00357FE4" w:rsidRDefault="005538F4" w:rsidP="00E24451">
            <w:pPr>
              <w:pStyle w:val="BodyBold"/>
            </w:pPr>
            <w:r w:rsidRPr="00357FE4">
              <w:t>Repeatable</w:t>
            </w:r>
          </w:p>
        </w:tc>
      </w:tr>
      <w:tr w:rsidR="005538F4" w:rsidRPr="005F2A0F" w14:paraId="5D286361" w14:textId="77777777" w:rsidTr="006C7845">
        <w:tc>
          <w:tcPr>
            <w:tcW w:w="7792" w:type="dxa"/>
          </w:tcPr>
          <w:p w14:paraId="02400A18" w14:textId="209354A1" w:rsidR="005538F4" w:rsidRPr="005F2A0F" w:rsidRDefault="005538F4" w:rsidP="001B5A8A">
            <w:pPr>
              <w:pStyle w:val="Bullet1"/>
            </w:pPr>
            <w:r w:rsidRPr="005F2A0F">
              <w:t>Adaptation measures have been prioriti</w:t>
            </w:r>
            <w:r w:rsidR="00A12087">
              <w:t>s</w:t>
            </w:r>
            <w:r w:rsidRPr="005F2A0F">
              <w:t>ed for implementation</w:t>
            </w:r>
            <w:r w:rsidR="00A12087">
              <w:t>,</w:t>
            </w:r>
            <w:r w:rsidRPr="005F2A0F">
              <w:t xml:space="preserve"> and cost</w:t>
            </w:r>
            <w:r w:rsidR="00A12087">
              <w:t>–</w:t>
            </w:r>
            <w:r w:rsidRPr="005F2A0F">
              <w:t>benefit assessment has been undertaken</w:t>
            </w:r>
          </w:p>
        </w:tc>
        <w:tc>
          <w:tcPr>
            <w:tcW w:w="1558" w:type="dxa"/>
          </w:tcPr>
          <w:p w14:paraId="6DCFEF9E" w14:textId="77777777" w:rsidR="005538F4" w:rsidRPr="00357FE4" w:rsidRDefault="005538F4" w:rsidP="00E24451">
            <w:pPr>
              <w:pStyle w:val="BodyBold"/>
            </w:pPr>
            <w:r w:rsidRPr="00357FE4">
              <w:t>Systematic</w:t>
            </w:r>
          </w:p>
        </w:tc>
      </w:tr>
      <w:tr w:rsidR="005538F4" w:rsidRPr="005F2A0F" w14:paraId="3B8CDC1D" w14:textId="77777777" w:rsidTr="006C7845">
        <w:tc>
          <w:tcPr>
            <w:tcW w:w="7792" w:type="dxa"/>
          </w:tcPr>
          <w:p w14:paraId="71796F0E" w14:textId="77777777" w:rsidR="005538F4" w:rsidRPr="005F2A0F" w:rsidRDefault="005538F4" w:rsidP="001B5A8A">
            <w:pPr>
              <w:pStyle w:val="Bullet1"/>
            </w:pPr>
            <w:r w:rsidRPr="005F2A0F">
              <w:t>Funding for implementation of priority adaptation measures has been secured</w:t>
            </w:r>
          </w:p>
        </w:tc>
        <w:tc>
          <w:tcPr>
            <w:tcW w:w="1558" w:type="dxa"/>
          </w:tcPr>
          <w:p w14:paraId="5AA65EBA" w14:textId="77777777" w:rsidR="005538F4" w:rsidRPr="00357FE4" w:rsidRDefault="005538F4" w:rsidP="00E24451">
            <w:pPr>
              <w:pStyle w:val="BodyBold"/>
            </w:pPr>
            <w:r w:rsidRPr="00357FE4">
              <w:t>Systematic</w:t>
            </w:r>
          </w:p>
        </w:tc>
      </w:tr>
      <w:tr w:rsidR="005538F4" w:rsidRPr="005F2A0F" w14:paraId="0CE4D7BC" w14:textId="77777777" w:rsidTr="006C7845">
        <w:tc>
          <w:tcPr>
            <w:tcW w:w="7792" w:type="dxa"/>
          </w:tcPr>
          <w:p w14:paraId="25E51682" w14:textId="2B02A8BC" w:rsidR="005538F4" w:rsidRPr="005F2A0F" w:rsidRDefault="00A12087" w:rsidP="001B5A8A">
            <w:pPr>
              <w:pStyle w:val="Bullet1"/>
            </w:pPr>
            <w:r>
              <w:t>N</w:t>
            </w:r>
            <w:r w:rsidR="005538F4" w:rsidRPr="005F2A0F">
              <w:t>umber of risks related to a priority success criteri</w:t>
            </w:r>
            <w:r>
              <w:t xml:space="preserve">on or </w:t>
            </w:r>
            <w:r w:rsidR="005538F4" w:rsidRPr="005F2A0F">
              <w:t>climate hazard ha</w:t>
            </w:r>
            <w:r>
              <w:t>s</w:t>
            </w:r>
            <w:r w:rsidR="005538F4" w:rsidRPr="005F2A0F">
              <w:t xml:space="preserve"> been reduced through implementation of adaptation measures (for example, the number of </w:t>
            </w:r>
            <w:r>
              <w:t>h</w:t>
            </w:r>
            <w:r w:rsidR="005538F4" w:rsidRPr="005F2A0F">
              <w:t xml:space="preserve">igh and </w:t>
            </w:r>
            <w:r>
              <w:t>e</w:t>
            </w:r>
            <w:r w:rsidR="005538F4" w:rsidRPr="005F2A0F">
              <w:t>xtreme risks related to flooding)</w:t>
            </w:r>
          </w:p>
        </w:tc>
        <w:tc>
          <w:tcPr>
            <w:tcW w:w="1558" w:type="dxa"/>
          </w:tcPr>
          <w:p w14:paraId="609D4820" w14:textId="77777777" w:rsidR="005538F4" w:rsidRPr="00357FE4" w:rsidRDefault="005538F4" w:rsidP="00E24451">
            <w:pPr>
              <w:pStyle w:val="BodyBold"/>
            </w:pPr>
            <w:r w:rsidRPr="00357FE4">
              <w:t>Embedded</w:t>
            </w:r>
          </w:p>
        </w:tc>
      </w:tr>
      <w:tr w:rsidR="005538F4" w:rsidRPr="005F2A0F" w14:paraId="03A26555" w14:textId="77777777" w:rsidTr="006C7845">
        <w:tc>
          <w:tcPr>
            <w:tcW w:w="9350" w:type="dxa"/>
            <w:gridSpan w:val="2"/>
          </w:tcPr>
          <w:p w14:paraId="4234EE2F" w14:textId="20100ED0" w:rsidR="005538F4" w:rsidRPr="00357FE4" w:rsidRDefault="005538F4" w:rsidP="00E24451">
            <w:pPr>
              <w:pStyle w:val="BodyBold"/>
            </w:pPr>
            <w:r w:rsidRPr="00357FE4">
              <w:t>Organi</w:t>
            </w:r>
            <w:r w:rsidR="00195B36">
              <w:t>s</w:t>
            </w:r>
            <w:r w:rsidRPr="00357FE4">
              <w:t xml:space="preserve">ational </w:t>
            </w:r>
          </w:p>
        </w:tc>
      </w:tr>
      <w:tr w:rsidR="005538F4" w:rsidRPr="005F2A0F" w14:paraId="70AD5E5A" w14:textId="77777777" w:rsidTr="006C7845">
        <w:tc>
          <w:tcPr>
            <w:tcW w:w="7792" w:type="dxa"/>
          </w:tcPr>
          <w:p w14:paraId="081622B5" w14:textId="77777777" w:rsidR="005538F4" w:rsidRPr="005F2A0F" w:rsidRDefault="005538F4" w:rsidP="001B5A8A">
            <w:pPr>
              <w:pStyle w:val="Bullet1"/>
            </w:pPr>
            <w:r w:rsidRPr="005F2A0F">
              <w:t>Council has developed and implemented a policy for undertaking climate risk assessments</w:t>
            </w:r>
          </w:p>
        </w:tc>
        <w:tc>
          <w:tcPr>
            <w:tcW w:w="1558" w:type="dxa"/>
          </w:tcPr>
          <w:p w14:paraId="543E2F67" w14:textId="77777777" w:rsidR="005538F4" w:rsidRPr="00357FE4" w:rsidRDefault="005538F4" w:rsidP="00E24451">
            <w:pPr>
              <w:pStyle w:val="BodyBold"/>
            </w:pPr>
            <w:r w:rsidRPr="00357FE4">
              <w:t xml:space="preserve">Repeatable </w:t>
            </w:r>
          </w:p>
        </w:tc>
      </w:tr>
      <w:tr w:rsidR="005538F4" w:rsidRPr="005F2A0F" w14:paraId="78681E4E" w14:textId="77777777" w:rsidTr="006C7845">
        <w:tc>
          <w:tcPr>
            <w:tcW w:w="7792" w:type="dxa"/>
          </w:tcPr>
          <w:p w14:paraId="46099E07" w14:textId="6A10AC1B" w:rsidR="005538F4" w:rsidRPr="005F2A0F" w:rsidRDefault="00A12087" w:rsidP="001B5A8A">
            <w:pPr>
              <w:pStyle w:val="Bullet1"/>
            </w:pPr>
            <w:r>
              <w:t>C</w:t>
            </w:r>
            <w:r w:rsidR="005538F4" w:rsidRPr="005F2A0F">
              <w:t xml:space="preserve">ouncil resolution has been passed </w:t>
            </w:r>
            <w:r>
              <w:t>on</w:t>
            </w:r>
            <w:r w:rsidRPr="005F2A0F">
              <w:t xml:space="preserve"> </w:t>
            </w:r>
            <w:r w:rsidR="005538F4" w:rsidRPr="005F2A0F">
              <w:t>climate risk assessment and adaptation</w:t>
            </w:r>
          </w:p>
        </w:tc>
        <w:tc>
          <w:tcPr>
            <w:tcW w:w="1558" w:type="dxa"/>
          </w:tcPr>
          <w:p w14:paraId="7A004BC8" w14:textId="77777777" w:rsidR="005538F4" w:rsidRPr="00357FE4" w:rsidRDefault="005538F4" w:rsidP="00E24451">
            <w:pPr>
              <w:pStyle w:val="BodyBold"/>
            </w:pPr>
            <w:r w:rsidRPr="00357FE4">
              <w:t>Systematic</w:t>
            </w:r>
          </w:p>
        </w:tc>
      </w:tr>
      <w:tr w:rsidR="005538F4" w:rsidRPr="005F2A0F" w14:paraId="6E171167" w14:textId="77777777" w:rsidTr="006C7845">
        <w:tc>
          <w:tcPr>
            <w:tcW w:w="7792" w:type="dxa"/>
          </w:tcPr>
          <w:p w14:paraId="4D5F90D8" w14:textId="0597E445" w:rsidR="005538F4" w:rsidRPr="005F2A0F" w:rsidRDefault="005538F4" w:rsidP="001B5A8A">
            <w:pPr>
              <w:pStyle w:val="Bullet1"/>
            </w:pPr>
            <w:r w:rsidRPr="005F2A0F">
              <w:t>Council has adopted a general climate change policy</w:t>
            </w:r>
          </w:p>
        </w:tc>
        <w:tc>
          <w:tcPr>
            <w:tcW w:w="1558" w:type="dxa"/>
          </w:tcPr>
          <w:p w14:paraId="664487B5" w14:textId="77777777" w:rsidR="005538F4" w:rsidRPr="00357FE4" w:rsidRDefault="005538F4" w:rsidP="00E24451">
            <w:pPr>
              <w:pStyle w:val="BodyBold"/>
            </w:pPr>
            <w:r w:rsidRPr="00357FE4">
              <w:t>Systematic</w:t>
            </w:r>
          </w:p>
        </w:tc>
      </w:tr>
      <w:tr w:rsidR="005538F4" w:rsidRPr="005F2A0F" w14:paraId="157B851E" w14:textId="77777777" w:rsidTr="006C7845">
        <w:tc>
          <w:tcPr>
            <w:tcW w:w="7792" w:type="dxa"/>
          </w:tcPr>
          <w:p w14:paraId="060396C8" w14:textId="571104F1" w:rsidR="005538F4" w:rsidRPr="005F2A0F" w:rsidRDefault="005538F4" w:rsidP="001B5A8A">
            <w:pPr>
              <w:pStyle w:val="Bullet1"/>
            </w:pPr>
            <w:r w:rsidRPr="005F2A0F">
              <w:t>An oversight body (</w:t>
            </w:r>
            <w:r w:rsidR="00A12087">
              <w:t>for example, c</w:t>
            </w:r>
            <w:r w:rsidRPr="005F2A0F">
              <w:t xml:space="preserve">ommittee, </w:t>
            </w:r>
            <w:r w:rsidR="00A12087">
              <w:t>s</w:t>
            </w:r>
            <w:r w:rsidRPr="005F2A0F">
              <w:t xml:space="preserve">teering </w:t>
            </w:r>
            <w:r w:rsidR="00A12087">
              <w:t>g</w:t>
            </w:r>
            <w:r w:rsidRPr="005F2A0F">
              <w:t>roup) has been established to oversee implementation of the adaptation plan</w:t>
            </w:r>
          </w:p>
        </w:tc>
        <w:tc>
          <w:tcPr>
            <w:tcW w:w="1558" w:type="dxa"/>
          </w:tcPr>
          <w:p w14:paraId="52BC1B98" w14:textId="77777777" w:rsidR="005538F4" w:rsidRPr="00357FE4" w:rsidRDefault="005538F4" w:rsidP="00E24451">
            <w:pPr>
              <w:pStyle w:val="BodyBold"/>
            </w:pPr>
            <w:r w:rsidRPr="00357FE4">
              <w:t xml:space="preserve">Embedded </w:t>
            </w:r>
          </w:p>
        </w:tc>
      </w:tr>
      <w:tr w:rsidR="005538F4" w:rsidRPr="005F2A0F" w14:paraId="60432CDE" w14:textId="77777777" w:rsidTr="006C7845">
        <w:tc>
          <w:tcPr>
            <w:tcW w:w="7792" w:type="dxa"/>
          </w:tcPr>
          <w:p w14:paraId="3EAE7CC8" w14:textId="064F3168" w:rsidR="005538F4" w:rsidRPr="005F2A0F" w:rsidRDefault="005538F4" w:rsidP="001B5A8A">
            <w:pPr>
              <w:pStyle w:val="Bullet1"/>
            </w:pPr>
            <w:r w:rsidRPr="005F2A0F">
              <w:t xml:space="preserve">Climate risk and adaptation measures have been integrated into the </w:t>
            </w:r>
            <w:r w:rsidR="00A12087">
              <w:t>c</w:t>
            </w:r>
            <w:r w:rsidRPr="005F2A0F">
              <w:t xml:space="preserve">ommunity </w:t>
            </w:r>
            <w:r w:rsidR="00A12087">
              <w:t>s</w:t>
            </w:r>
            <w:r w:rsidRPr="005F2A0F">
              <w:t xml:space="preserve">trategic </w:t>
            </w:r>
            <w:r w:rsidR="00A12087">
              <w:t>p</w:t>
            </w:r>
            <w:r w:rsidRPr="005F2A0F">
              <w:t xml:space="preserve">lan and/or IP&amp;R </w:t>
            </w:r>
            <w:r w:rsidR="00A12087">
              <w:t>f</w:t>
            </w:r>
            <w:r w:rsidRPr="005F2A0F">
              <w:t>ramework and/or other strategic documents</w:t>
            </w:r>
          </w:p>
        </w:tc>
        <w:tc>
          <w:tcPr>
            <w:tcW w:w="1558" w:type="dxa"/>
          </w:tcPr>
          <w:p w14:paraId="46F5D6ED" w14:textId="77777777" w:rsidR="005538F4" w:rsidRPr="00357FE4" w:rsidRDefault="005538F4" w:rsidP="007B25E1">
            <w:pPr>
              <w:pStyle w:val="BodyBold"/>
              <w:spacing w:before="120"/>
            </w:pPr>
            <w:r w:rsidRPr="00357FE4">
              <w:t>Embedded</w:t>
            </w:r>
          </w:p>
        </w:tc>
      </w:tr>
      <w:tr w:rsidR="005538F4" w:rsidRPr="005F2A0F" w14:paraId="585F279A" w14:textId="77777777" w:rsidTr="006C7845">
        <w:tc>
          <w:tcPr>
            <w:tcW w:w="9350" w:type="dxa"/>
            <w:gridSpan w:val="2"/>
          </w:tcPr>
          <w:p w14:paraId="0C1D3AA3" w14:textId="77777777" w:rsidR="005538F4" w:rsidRPr="00357FE4" w:rsidRDefault="005538F4" w:rsidP="00E24451">
            <w:pPr>
              <w:pStyle w:val="BodyBold"/>
            </w:pPr>
            <w:r w:rsidRPr="00357FE4">
              <w:lastRenderedPageBreak/>
              <w:t xml:space="preserve">Engagement </w:t>
            </w:r>
          </w:p>
        </w:tc>
      </w:tr>
      <w:tr w:rsidR="005538F4" w:rsidRPr="005F2A0F" w14:paraId="1B68230D" w14:textId="77777777" w:rsidTr="006C7845">
        <w:tc>
          <w:tcPr>
            <w:tcW w:w="7792" w:type="dxa"/>
          </w:tcPr>
          <w:p w14:paraId="557F151D" w14:textId="27271031" w:rsidR="005538F4" w:rsidRPr="005F2A0F" w:rsidRDefault="005538F4" w:rsidP="001B5A8A">
            <w:pPr>
              <w:pStyle w:val="Bullet1"/>
            </w:pPr>
            <w:r w:rsidRPr="005F2A0F">
              <w:t>A climate risk management subcommittee (or similar) has been established</w:t>
            </w:r>
          </w:p>
        </w:tc>
        <w:tc>
          <w:tcPr>
            <w:tcW w:w="1558" w:type="dxa"/>
          </w:tcPr>
          <w:p w14:paraId="0759CF08" w14:textId="77777777" w:rsidR="005538F4" w:rsidRPr="00357FE4" w:rsidRDefault="005538F4" w:rsidP="00E24451">
            <w:pPr>
              <w:pStyle w:val="BodyBold"/>
            </w:pPr>
            <w:r w:rsidRPr="00357FE4">
              <w:t>Systematic</w:t>
            </w:r>
          </w:p>
        </w:tc>
      </w:tr>
      <w:tr w:rsidR="005538F4" w:rsidRPr="005F2A0F" w14:paraId="6044B4AB" w14:textId="77777777" w:rsidTr="006C7845">
        <w:tc>
          <w:tcPr>
            <w:tcW w:w="7792" w:type="dxa"/>
          </w:tcPr>
          <w:p w14:paraId="05156598" w14:textId="77777777" w:rsidR="005538F4" w:rsidRPr="005F2A0F" w:rsidRDefault="005538F4" w:rsidP="001B5A8A">
            <w:pPr>
              <w:pStyle w:val="Bullet1"/>
            </w:pPr>
            <w:r w:rsidRPr="005F2A0F">
              <w:t>Level of community and/or external stakeholder engagement achieved regarding climate risks</w:t>
            </w:r>
          </w:p>
        </w:tc>
        <w:tc>
          <w:tcPr>
            <w:tcW w:w="1558" w:type="dxa"/>
          </w:tcPr>
          <w:p w14:paraId="20E730B8" w14:textId="20A4DE20" w:rsidR="005538F4" w:rsidRPr="00357FE4" w:rsidRDefault="005538F4" w:rsidP="00A12087">
            <w:pPr>
              <w:pStyle w:val="BodyBold"/>
              <w:jc w:val="left"/>
            </w:pPr>
            <w:r w:rsidRPr="00357FE4">
              <w:t xml:space="preserve">Embedded </w:t>
            </w:r>
            <w:r w:rsidR="00A12087">
              <w:t>to a</w:t>
            </w:r>
            <w:r w:rsidRPr="00357FE4">
              <w:t xml:space="preserve">dvanced </w:t>
            </w:r>
          </w:p>
        </w:tc>
      </w:tr>
      <w:tr w:rsidR="005538F4" w:rsidRPr="005F2A0F" w14:paraId="3AFBF6BE" w14:textId="77777777" w:rsidTr="006C7845">
        <w:tc>
          <w:tcPr>
            <w:tcW w:w="7792" w:type="dxa"/>
          </w:tcPr>
          <w:p w14:paraId="46D3FC4E" w14:textId="7C7A137B" w:rsidR="005538F4" w:rsidRPr="005F2A0F" w:rsidRDefault="005538F4" w:rsidP="001B5A8A">
            <w:pPr>
              <w:pStyle w:val="Bullet1"/>
            </w:pPr>
            <w:r w:rsidRPr="005F2A0F">
              <w:t xml:space="preserve">Practitioner champions group </w:t>
            </w:r>
            <w:r w:rsidR="00A12087">
              <w:t xml:space="preserve">has been </w:t>
            </w:r>
            <w:r w:rsidRPr="005F2A0F">
              <w:t>established to support climate risk assessment and managemen</w:t>
            </w:r>
            <w:r w:rsidR="008033F5">
              <w:t>t</w:t>
            </w:r>
          </w:p>
        </w:tc>
        <w:tc>
          <w:tcPr>
            <w:tcW w:w="1558" w:type="dxa"/>
          </w:tcPr>
          <w:p w14:paraId="4D8323A9" w14:textId="77777777" w:rsidR="005538F4" w:rsidRPr="00357FE4" w:rsidRDefault="005538F4" w:rsidP="00E24451">
            <w:pPr>
              <w:pStyle w:val="BodyBold"/>
            </w:pPr>
            <w:r w:rsidRPr="00357FE4">
              <w:t>Embedded</w:t>
            </w:r>
          </w:p>
        </w:tc>
      </w:tr>
      <w:tr w:rsidR="005538F4" w:rsidRPr="005F2A0F" w14:paraId="637CF2DA" w14:textId="77777777" w:rsidTr="006C7845">
        <w:tc>
          <w:tcPr>
            <w:tcW w:w="7792" w:type="dxa"/>
          </w:tcPr>
          <w:p w14:paraId="6F35A386" w14:textId="24CD246F" w:rsidR="005538F4" w:rsidRPr="005F2A0F" w:rsidRDefault="005538F4" w:rsidP="001B5A8A">
            <w:pPr>
              <w:pStyle w:val="Bullet1"/>
            </w:pPr>
            <w:r w:rsidRPr="005F2A0F">
              <w:t xml:space="preserve">Community engagement forum </w:t>
            </w:r>
            <w:r w:rsidR="00A12087">
              <w:t xml:space="preserve">has been </w:t>
            </w:r>
            <w:r w:rsidRPr="005F2A0F">
              <w:t>established</w:t>
            </w:r>
          </w:p>
        </w:tc>
        <w:tc>
          <w:tcPr>
            <w:tcW w:w="1558" w:type="dxa"/>
          </w:tcPr>
          <w:p w14:paraId="77CF36F9" w14:textId="77777777" w:rsidR="005538F4" w:rsidRPr="00357FE4" w:rsidRDefault="005538F4" w:rsidP="00E24451">
            <w:pPr>
              <w:pStyle w:val="BodyBold"/>
            </w:pPr>
            <w:r w:rsidRPr="00357FE4">
              <w:t xml:space="preserve">Advanced </w:t>
            </w:r>
          </w:p>
        </w:tc>
      </w:tr>
      <w:tr w:rsidR="005538F4" w:rsidRPr="005F2A0F" w14:paraId="2B9FBE51" w14:textId="77777777" w:rsidTr="006C7845">
        <w:trPr>
          <w:trHeight w:val="20"/>
        </w:trPr>
        <w:tc>
          <w:tcPr>
            <w:tcW w:w="9350" w:type="dxa"/>
            <w:gridSpan w:val="2"/>
          </w:tcPr>
          <w:p w14:paraId="4B7D93E6" w14:textId="77777777" w:rsidR="005538F4" w:rsidRPr="00357FE4" w:rsidRDefault="005538F4" w:rsidP="00E24451">
            <w:pPr>
              <w:pStyle w:val="BodyBold"/>
            </w:pPr>
            <w:r w:rsidRPr="00357FE4">
              <w:t xml:space="preserve">Maturity </w:t>
            </w:r>
          </w:p>
        </w:tc>
      </w:tr>
      <w:tr w:rsidR="005538F4" w:rsidRPr="005F2A0F" w14:paraId="34267D98" w14:textId="77777777" w:rsidTr="006C7845">
        <w:trPr>
          <w:trHeight w:val="20"/>
        </w:trPr>
        <w:tc>
          <w:tcPr>
            <w:tcW w:w="7792" w:type="dxa"/>
          </w:tcPr>
          <w:p w14:paraId="2A54E226" w14:textId="15466448" w:rsidR="005538F4" w:rsidRPr="005F2A0F" w:rsidRDefault="005538F4" w:rsidP="001B5A8A">
            <w:pPr>
              <w:pStyle w:val="Bullet1"/>
            </w:pPr>
            <w:r w:rsidRPr="005F2A0F">
              <w:t>General risk management practices have improved in maturity</w:t>
            </w:r>
          </w:p>
        </w:tc>
        <w:tc>
          <w:tcPr>
            <w:tcW w:w="1558" w:type="dxa"/>
          </w:tcPr>
          <w:p w14:paraId="1574928A" w14:textId="77777777" w:rsidR="005538F4" w:rsidRPr="00357FE4" w:rsidRDefault="005538F4" w:rsidP="00E24451">
            <w:pPr>
              <w:pStyle w:val="BodyBold"/>
            </w:pPr>
            <w:r w:rsidRPr="00357FE4">
              <w:t xml:space="preserve">All </w:t>
            </w:r>
          </w:p>
        </w:tc>
      </w:tr>
      <w:tr w:rsidR="005538F4" w:rsidRPr="005F2A0F" w14:paraId="781E664F" w14:textId="77777777" w:rsidTr="006C7845">
        <w:trPr>
          <w:trHeight w:val="20"/>
        </w:trPr>
        <w:tc>
          <w:tcPr>
            <w:tcW w:w="7792" w:type="dxa"/>
          </w:tcPr>
          <w:p w14:paraId="43ACF24E" w14:textId="4881E4E3" w:rsidR="005538F4" w:rsidRPr="005F2A0F" w:rsidRDefault="005538F4" w:rsidP="001B5A8A">
            <w:pPr>
              <w:pStyle w:val="Bullet1"/>
            </w:pPr>
            <w:r w:rsidRPr="005F2A0F">
              <w:t>Climate risk management practices have improved in maturity</w:t>
            </w:r>
          </w:p>
        </w:tc>
        <w:tc>
          <w:tcPr>
            <w:tcW w:w="1558" w:type="dxa"/>
          </w:tcPr>
          <w:p w14:paraId="5CD87C1E" w14:textId="77777777" w:rsidR="005538F4" w:rsidRPr="00357FE4" w:rsidRDefault="005538F4" w:rsidP="00E24451">
            <w:pPr>
              <w:pStyle w:val="BodyBold"/>
            </w:pPr>
            <w:r w:rsidRPr="00357FE4">
              <w:t xml:space="preserve">All </w:t>
            </w:r>
          </w:p>
        </w:tc>
      </w:tr>
      <w:tr w:rsidR="005538F4" w:rsidRPr="005F2A0F" w14:paraId="16854F6C" w14:textId="77777777" w:rsidTr="006C7845">
        <w:trPr>
          <w:trHeight w:val="20"/>
        </w:trPr>
        <w:tc>
          <w:tcPr>
            <w:tcW w:w="7792" w:type="dxa"/>
          </w:tcPr>
          <w:p w14:paraId="4147D59E" w14:textId="6FEA3F8C" w:rsidR="005538F4" w:rsidRPr="005F2A0F" w:rsidRDefault="005538F4" w:rsidP="001B5A8A">
            <w:pPr>
              <w:pStyle w:val="Bullet1"/>
            </w:pPr>
            <w:r w:rsidRPr="005F2A0F">
              <w:t xml:space="preserve">Completion of the </w:t>
            </w:r>
            <w:r w:rsidR="00C97776" w:rsidRPr="00C97776">
              <w:t xml:space="preserve">Climate Readiness </w:t>
            </w:r>
            <w:r w:rsidRPr="005F2A0F">
              <w:t>Tool demonstrates that Council maturity risk management has improved overall</w:t>
            </w:r>
          </w:p>
        </w:tc>
        <w:tc>
          <w:tcPr>
            <w:tcW w:w="1558" w:type="dxa"/>
          </w:tcPr>
          <w:p w14:paraId="7BDADE0B" w14:textId="77777777" w:rsidR="005538F4" w:rsidRPr="00357FE4" w:rsidRDefault="005538F4" w:rsidP="00E24451">
            <w:pPr>
              <w:pStyle w:val="BodyBold"/>
            </w:pPr>
            <w:r w:rsidRPr="00357FE4">
              <w:t xml:space="preserve">All </w:t>
            </w:r>
          </w:p>
        </w:tc>
      </w:tr>
      <w:tr w:rsidR="005538F4" w:rsidRPr="005F2A0F" w14:paraId="4CA590F5" w14:textId="77777777" w:rsidTr="006C7845">
        <w:trPr>
          <w:trHeight w:val="20"/>
        </w:trPr>
        <w:tc>
          <w:tcPr>
            <w:tcW w:w="9350" w:type="dxa"/>
            <w:gridSpan w:val="2"/>
          </w:tcPr>
          <w:p w14:paraId="1344ACCB" w14:textId="77777777" w:rsidR="005538F4" w:rsidRPr="00357FE4" w:rsidRDefault="005538F4" w:rsidP="00E24451">
            <w:pPr>
              <w:pStyle w:val="BodyBold"/>
            </w:pPr>
            <w:r w:rsidRPr="00357FE4">
              <w:t>Process</w:t>
            </w:r>
          </w:p>
        </w:tc>
      </w:tr>
      <w:tr w:rsidR="005538F4" w:rsidRPr="005F2A0F" w14:paraId="0ED1DFF0" w14:textId="77777777" w:rsidTr="006C7845">
        <w:trPr>
          <w:trHeight w:val="20"/>
        </w:trPr>
        <w:tc>
          <w:tcPr>
            <w:tcW w:w="7792" w:type="dxa"/>
          </w:tcPr>
          <w:p w14:paraId="06B6DD1A" w14:textId="0894DA78" w:rsidR="005538F4" w:rsidRPr="005F2A0F" w:rsidRDefault="005538F4" w:rsidP="001B5A8A">
            <w:pPr>
              <w:pStyle w:val="Bullet1"/>
            </w:pPr>
            <w:r w:rsidRPr="005F2A0F">
              <w:t>Annual expenditure on climate hazard adaptation</w:t>
            </w:r>
            <w:r w:rsidR="00805B58">
              <w:t xml:space="preserve"> and </w:t>
            </w:r>
            <w:r w:rsidRPr="005F2A0F">
              <w:t>management measures is monitored</w:t>
            </w:r>
          </w:p>
        </w:tc>
        <w:tc>
          <w:tcPr>
            <w:tcW w:w="1558" w:type="dxa"/>
          </w:tcPr>
          <w:p w14:paraId="304CD69C" w14:textId="77777777" w:rsidR="005538F4" w:rsidRPr="00357FE4" w:rsidRDefault="005538F4" w:rsidP="00E24451">
            <w:pPr>
              <w:pStyle w:val="BodyBold"/>
            </w:pPr>
            <w:r w:rsidRPr="00357FE4">
              <w:t>Systematic</w:t>
            </w:r>
          </w:p>
        </w:tc>
      </w:tr>
      <w:tr w:rsidR="005538F4" w:rsidRPr="005F2A0F" w14:paraId="689FABA6" w14:textId="77777777" w:rsidTr="006C7845">
        <w:trPr>
          <w:trHeight w:val="20"/>
        </w:trPr>
        <w:tc>
          <w:tcPr>
            <w:tcW w:w="7792" w:type="dxa"/>
          </w:tcPr>
          <w:p w14:paraId="2488B5AF" w14:textId="518DE3C4" w:rsidR="005538F4" w:rsidRPr="00357FE4" w:rsidRDefault="005538F4" w:rsidP="001B5A8A">
            <w:pPr>
              <w:pStyle w:val="Bullet1"/>
            </w:pPr>
            <w:r w:rsidRPr="00357FE4">
              <w:t>Annual budget for investment in climate adaptation measures</w:t>
            </w:r>
            <w:r w:rsidR="00805B58">
              <w:t xml:space="preserve"> and </w:t>
            </w:r>
            <w:r w:rsidRPr="00357FE4">
              <w:t xml:space="preserve">resources </w:t>
            </w:r>
            <w:r w:rsidR="00805B58">
              <w:t xml:space="preserve">has been </w:t>
            </w:r>
            <w:r w:rsidRPr="00357FE4">
              <w:t>established</w:t>
            </w:r>
          </w:p>
        </w:tc>
        <w:tc>
          <w:tcPr>
            <w:tcW w:w="1558" w:type="dxa"/>
          </w:tcPr>
          <w:p w14:paraId="2BAEB698" w14:textId="77777777" w:rsidR="005538F4" w:rsidRPr="00357FE4" w:rsidRDefault="005538F4" w:rsidP="00E24451">
            <w:pPr>
              <w:pStyle w:val="BodyBold"/>
            </w:pPr>
            <w:r w:rsidRPr="00357FE4">
              <w:t>Systematic</w:t>
            </w:r>
          </w:p>
        </w:tc>
      </w:tr>
      <w:tr w:rsidR="005538F4" w:rsidRPr="005F2A0F" w14:paraId="05B78A61" w14:textId="77777777" w:rsidTr="006C7845">
        <w:trPr>
          <w:trHeight w:val="20"/>
        </w:trPr>
        <w:tc>
          <w:tcPr>
            <w:tcW w:w="7792" w:type="dxa"/>
          </w:tcPr>
          <w:p w14:paraId="5088F59E" w14:textId="62150CF8" w:rsidR="005538F4" w:rsidRPr="00357FE4" w:rsidRDefault="005538F4" w:rsidP="001B5A8A">
            <w:pPr>
              <w:pStyle w:val="Bullet1"/>
            </w:pPr>
            <w:r w:rsidRPr="00357FE4">
              <w:t>Progress is being made to address data gaps identified during the climate risk assessment process</w:t>
            </w:r>
          </w:p>
        </w:tc>
        <w:tc>
          <w:tcPr>
            <w:tcW w:w="1558" w:type="dxa"/>
          </w:tcPr>
          <w:p w14:paraId="314380F8" w14:textId="77777777" w:rsidR="005538F4" w:rsidRPr="00357FE4" w:rsidRDefault="005538F4" w:rsidP="00E24451">
            <w:pPr>
              <w:pStyle w:val="BodyBold"/>
            </w:pPr>
            <w:r w:rsidRPr="00357FE4">
              <w:t xml:space="preserve">Systematic </w:t>
            </w:r>
          </w:p>
        </w:tc>
      </w:tr>
      <w:tr w:rsidR="005538F4" w:rsidRPr="005F2A0F" w14:paraId="5F7578C8" w14:textId="77777777" w:rsidTr="006C7845">
        <w:trPr>
          <w:trHeight w:val="20"/>
        </w:trPr>
        <w:tc>
          <w:tcPr>
            <w:tcW w:w="7792" w:type="dxa"/>
          </w:tcPr>
          <w:p w14:paraId="6D446E5F" w14:textId="65B97212" w:rsidR="005538F4" w:rsidRPr="005F2A0F" w:rsidRDefault="005538F4" w:rsidP="001B5A8A">
            <w:pPr>
              <w:pStyle w:val="Bullet1"/>
            </w:pPr>
            <w:r w:rsidRPr="005F2A0F">
              <w:t>Metrics and targets relating to climate change have been integrated in</w:t>
            </w:r>
            <w:r w:rsidR="008033F5">
              <w:t>to Council executive</w:t>
            </w:r>
            <w:r w:rsidR="00805B58">
              <w:t>-</w:t>
            </w:r>
            <w:r w:rsidR="008033F5">
              <w:t xml:space="preserve">level </w:t>
            </w:r>
            <w:r w:rsidR="00805B58">
              <w:t>key performance indicators</w:t>
            </w:r>
          </w:p>
        </w:tc>
        <w:tc>
          <w:tcPr>
            <w:tcW w:w="1558" w:type="dxa"/>
          </w:tcPr>
          <w:p w14:paraId="754B291F" w14:textId="77777777" w:rsidR="005538F4" w:rsidRPr="00357FE4" w:rsidRDefault="005538F4" w:rsidP="00E24451">
            <w:pPr>
              <w:pStyle w:val="BodyBold"/>
            </w:pPr>
            <w:r w:rsidRPr="00357FE4">
              <w:t>Advanced</w:t>
            </w:r>
          </w:p>
        </w:tc>
      </w:tr>
      <w:tr w:rsidR="005538F4" w:rsidRPr="005F2A0F" w14:paraId="093A60FC" w14:textId="77777777" w:rsidTr="006C7845">
        <w:trPr>
          <w:trHeight w:val="20"/>
        </w:trPr>
        <w:tc>
          <w:tcPr>
            <w:tcW w:w="9350" w:type="dxa"/>
            <w:gridSpan w:val="2"/>
          </w:tcPr>
          <w:p w14:paraId="38A76780" w14:textId="149595AE" w:rsidR="005538F4" w:rsidRPr="00357FE4" w:rsidRDefault="005538F4" w:rsidP="00E24451">
            <w:pPr>
              <w:pStyle w:val="BodyBold"/>
            </w:pPr>
            <w:r w:rsidRPr="00357FE4">
              <w:t xml:space="preserve">Transition and </w:t>
            </w:r>
            <w:r w:rsidR="00195B36">
              <w:t>l</w:t>
            </w:r>
            <w:r w:rsidRPr="00357FE4">
              <w:t>iability risks</w:t>
            </w:r>
            <w:r w:rsidR="00195B36">
              <w:t>, and</w:t>
            </w:r>
            <w:r w:rsidRPr="00357FE4">
              <w:t xml:space="preserve"> TCFD</w:t>
            </w:r>
          </w:p>
        </w:tc>
      </w:tr>
      <w:tr w:rsidR="005538F4" w:rsidRPr="005F2A0F" w14:paraId="2B19B2A0" w14:textId="77777777" w:rsidTr="006C7845">
        <w:trPr>
          <w:trHeight w:val="20"/>
        </w:trPr>
        <w:tc>
          <w:tcPr>
            <w:tcW w:w="7792" w:type="dxa"/>
          </w:tcPr>
          <w:p w14:paraId="1FA761F7" w14:textId="0524FD5A" w:rsidR="005538F4" w:rsidRPr="005F2A0F" w:rsidRDefault="005538F4" w:rsidP="001B5A8A">
            <w:pPr>
              <w:pStyle w:val="Bullet1"/>
            </w:pPr>
            <w:r w:rsidRPr="005F2A0F">
              <w:t>Transition risks have been identified and assessed</w:t>
            </w:r>
          </w:p>
        </w:tc>
        <w:tc>
          <w:tcPr>
            <w:tcW w:w="1558" w:type="dxa"/>
          </w:tcPr>
          <w:p w14:paraId="7365FFF8" w14:textId="77777777" w:rsidR="005538F4" w:rsidRPr="00357FE4" w:rsidRDefault="005538F4" w:rsidP="00E24451">
            <w:pPr>
              <w:pStyle w:val="BodyBold"/>
            </w:pPr>
            <w:r w:rsidRPr="00357FE4">
              <w:t>Embedded</w:t>
            </w:r>
          </w:p>
        </w:tc>
      </w:tr>
      <w:tr w:rsidR="005538F4" w:rsidRPr="005F2A0F" w14:paraId="73DC7FCA" w14:textId="77777777" w:rsidTr="006C7845">
        <w:trPr>
          <w:trHeight w:val="20"/>
        </w:trPr>
        <w:tc>
          <w:tcPr>
            <w:tcW w:w="7792" w:type="dxa"/>
          </w:tcPr>
          <w:p w14:paraId="13E65C66" w14:textId="7ED1A88F" w:rsidR="005538F4" w:rsidRPr="005F2A0F" w:rsidRDefault="005538F4" w:rsidP="001B5A8A">
            <w:pPr>
              <w:pStyle w:val="Bullet1"/>
            </w:pPr>
            <w:r w:rsidRPr="005F2A0F">
              <w:t xml:space="preserve">Liability risks have been identified and assessed (see </w:t>
            </w:r>
            <w:r w:rsidR="00C97776" w:rsidRPr="00C97776">
              <w:t xml:space="preserve">Climate Readiness </w:t>
            </w:r>
            <w:r w:rsidRPr="005F2A0F">
              <w:t>Tool</w:t>
            </w:r>
            <w:r w:rsidR="00805B58">
              <w:t>,</w:t>
            </w:r>
            <w:r w:rsidRPr="005F2A0F">
              <w:t xml:space="preserve"> Part 2a</w:t>
            </w:r>
            <w:r w:rsidR="00805B58">
              <w:t>,</w:t>
            </w:r>
            <w:r w:rsidRPr="005F2A0F">
              <w:t xml:space="preserve"> 2.5.5)</w:t>
            </w:r>
          </w:p>
        </w:tc>
        <w:tc>
          <w:tcPr>
            <w:tcW w:w="1558" w:type="dxa"/>
          </w:tcPr>
          <w:p w14:paraId="07737858" w14:textId="77777777" w:rsidR="005538F4" w:rsidRPr="00357FE4" w:rsidRDefault="005538F4" w:rsidP="00E24451">
            <w:pPr>
              <w:pStyle w:val="BodyBold"/>
            </w:pPr>
            <w:r w:rsidRPr="00357FE4">
              <w:t>Embedded</w:t>
            </w:r>
          </w:p>
        </w:tc>
      </w:tr>
      <w:tr w:rsidR="005538F4" w:rsidRPr="005F2A0F" w14:paraId="302CE0AA" w14:textId="77777777" w:rsidTr="006C7845">
        <w:trPr>
          <w:trHeight w:val="20"/>
        </w:trPr>
        <w:tc>
          <w:tcPr>
            <w:tcW w:w="7792" w:type="dxa"/>
          </w:tcPr>
          <w:p w14:paraId="6D1F4E95" w14:textId="487ED177" w:rsidR="005538F4" w:rsidRPr="005F2A0F" w:rsidRDefault="00805B58" w:rsidP="001B5A8A">
            <w:pPr>
              <w:pStyle w:val="Bullet1"/>
            </w:pPr>
            <w:r>
              <w:t>M</w:t>
            </w:r>
            <w:r w:rsidR="005538F4" w:rsidRPr="005F2A0F">
              <w:t xml:space="preserve">aturity of TCFD </w:t>
            </w:r>
            <w:r>
              <w:t>d</w:t>
            </w:r>
            <w:r w:rsidR="005538F4" w:rsidRPr="005F2A0F">
              <w:t>isclosure</w:t>
            </w:r>
            <w:r>
              <w:t xml:space="preserve"> has increased</w:t>
            </w:r>
          </w:p>
        </w:tc>
        <w:tc>
          <w:tcPr>
            <w:tcW w:w="1558" w:type="dxa"/>
          </w:tcPr>
          <w:p w14:paraId="6516A10A" w14:textId="77777777" w:rsidR="005538F4" w:rsidRPr="00357FE4" w:rsidRDefault="005538F4" w:rsidP="00E24451">
            <w:pPr>
              <w:pStyle w:val="BodyBold"/>
            </w:pPr>
            <w:r w:rsidRPr="00357FE4">
              <w:t>Advanced</w:t>
            </w:r>
          </w:p>
        </w:tc>
      </w:tr>
      <w:tr w:rsidR="005538F4" w:rsidRPr="005F2A0F" w14:paraId="00E18F8B" w14:textId="77777777" w:rsidTr="006C7845">
        <w:trPr>
          <w:trHeight w:val="20"/>
        </w:trPr>
        <w:tc>
          <w:tcPr>
            <w:tcW w:w="7792" w:type="dxa"/>
          </w:tcPr>
          <w:p w14:paraId="44B3A00A" w14:textId="79E95099" w:rsidR="005538F4" w:rsidRPr="005F2A0F" w:rsidRDefault="00805B58" w:rsidP="001B5A8A">
            <w:pPr>
              <w:pStyle w:val="Bullet1"/>
            </w:pPr>
            <w:r>
              <w:t>P</w:t>
            </w:r>
            <w:r w:rsidR="005538F4" w:rsidRPr="005F2A0F">
              <w:t xml:space="preserve">erformance </w:t>
            </w:r>
            <w:r>
              <w:t xml:space="preserve">has improved </w:t>
            </w:r>
            <w:r w:rsidR="005538F4" w:rsidRPr="005F2A0F">
              <w:t xml:space="preserve">within TCFD </w:t>
            </w:r>
            <w:r>
              <w:t>d</w:t>
            </w:r>
            <w:r w:rsidR="005538F4" w:rsidRPr="005F2A0F">
              <w:t xml:space="preserve">isclosure </w:t>
            </w:r>
            <w:r>
              <w:t>p</w:t>
            </w:r>
            <w:r w:rsidR="005538F4" w:rsidRPr="005F2A0F">
              <w:t xml:space="preserve">illars of </w:t>
            </w:r>
            <w:r>
              <w:t>g</w:t>
            </w:r>
            <w:r w:rsidR="005538F4" w:rsidRPr="005F2A0F">
              <w:t>overnance</w:t>
            </w:r>
            <w:r>
              <w:t>, s</w:t>
            </w:r>
            <w:r w:rsidR="005538F4" w:rsidRPr="005F2A0F">
              <w:t>trategy</w:t>
            </w:r>
            <w:r>
              <w:t>, r</w:t>
            </w:r>
            <w:r w:rsidR="005538F4" w:rsidRPr="005F2A0F">
              <w:t xml:space="preserve">isk </w:t>
            </w:r>
            <w:r>
              <w:t>m</w:t>
            </w:r>
            <w:r w:rsidR="005538F4" w:rsidRPr="005F2A0F">
              <w:t>anagement</w:t>
            </w:r>
            <w:r>
              <w:t>, and m</w:t>
            </w:r>
            <w:r w:rsidR="005538F4" w:rsidRPr="005F2A0F">
              <w:t xml:space="preserve">etrics and </w:t>
            </w:r>
            <w:r>
              <w:t>t</w:t>
            </w:r>
            <w:r w:rsidR="005538F4" w:rsidRPr="005F2A0F">
              <w:t>argets</w:t>
            </w:r>
          </w:p>
        </w:tc>
        <w:tc>
          <w:tcPr>
            <w:tcW w:w="1558" w:type="dxa"/>
          </w:tcPr>
          <w:p w14:paraId="3A0F8802" w14:textId="77777777" w:rsidR="005538F4" w:rsidRPr="00357FE4" w:rsidRDefault="005538F4" w:rsidP="00E24451">
            <w:pPr>
              <w:pStyle w:val="BodyBold"/>
            </w:pPr>
            <w:r w:rsidRPr="00357FE4">
              <w:t xml:space="preserve">Advanced </w:t>
            </w:r>
          </w:p>
        </w:tc>
      </w:tr>
    </w:tbl>
    <w:p w14:paraId="684C80AA" w14:textId="77777777" w:rsidR="005538F4" w:rsidRPr="005F2A0F" w:rsidRDefault="005538F4" w:rsidP="005538F4"/>
    <w:p w14:paraId="0C2237BF" w14:textId="77777777" w:rsidR="00082A2E" w:rsidRDefault="00082A2E" w:rsidP="00357FE4">
      <w:pPr>
        <w:pStyle w:val="Heading218pt"/>
        <w:sectPr w:rsidR="00082A2E" w:rsidSect="005F20A0">
          <w:endnotePr>
            <w:numFmt w:val="decimal"/>
          </w:endnotePr>
          <w:pgSz w:w="11906" w:h="16838" w:code="9"/>
          <w:pgMar w:top="1954" w:right="1134" w:bottom="1134" w:left="1134" w:header="573" w:footer="534" w:gutter="0"/>
          <w:cols w:space="720"/>
          <w:noEndnote/>
          <w:docGrid w:linePitch="299"/>
        </w:sectPr>
      </w:pPr>
    </w:p>
    <w:p w14:paraId="59F0EA4D" w14:textId="74835B51" w:rsidR="005538F4" w:rsidRPr="005F2A0F" w:rsidRDefault="00AC4588" w:rsidP="00357FE4">
      <w:pPr>
        <w:pStyle w:val="Heading218pt"/>
      </w:pPr>
      <w:r>
        <w:lastRenderedPageBreak/>
        <w:t>R</w:t>
      </w:r>
      <w:r w:rsidR="005538F4" w:rsidRPr="00357FE4">
        <w:t>eferences</w:t>
      </w:r>
    </w:p>
    <w:p w14:paraId="66512DDB" w14:textId="77777777" w:rsidR="00454B5D" w:rsidRPr="00357FE4" w:rsidRDefault="00454B5D" w:rsidP="00454B5D">
      <w:pPr>
        <w:pStyle w:val="Body0"/>
        <w:rPr>
          <w:rStyle w:val="Hyperlink"/>
        </w:rPr>
      </w:pPr>
      <w:r w:rsidRPr="0000196C">
        <w:t xml:space="preserve">Adaptation Scotland </w:t>
      </w:r>
      <w:r>
        <w:t xml:space="preserve">(2019). </w:t>
      </w:r>
      <w:hyperlink r:id="rId17" w:history="1">
        <w:r w:rsidRPr="0000196C">
          <w:rPr>
            <w:rStyle w:val="Hyperlink"/>
          </w:rPr>
          <w:t>Monitoring &amp; evaluation</w:t>
        </w:r>
      </w:hyperlink>
    </w:p>
    <w:p w14:paraId="5CEF9D6D" w14:textId="77777777" w:rsidR="00454B5D" w:rsidRPr="00357FE4" w:rsidRDefault="00454B5D" w:rsidP="00454B5D">
      <w:pPr>
        <w:pStyle w:val="Body0"/>
        <w:rPr>
          <w:color w:val="0000FF"/>
          <w:u w:val="single"/>
        </w:rPr>
      </w:pPr>
      <w:r>
        <w:t xml:space="preserve">DELWP (Victorian Department of Environment, Land Water and Planning) (2020). </w:t>
      </w:r>
      <w:hyperlink r:id="rId18" w:history="1">
        <w:r w:rsidRPr="0000196C">
          <w:rPr>
            <w:rStyle w:val="Hyperlink"/>
            <w:i/>
            <w:iCs/>
          </w:rPr>
          <w:t>Regional Climate Change Adaptation Strategy: Guidance note 2 – Establishing a learning framework</w:t>
        </w:r>
      </w:hyperlink>
    </w:p>
    <w:p w14:paraId="0A596A89" w14:textId="1DEB69A8" w:rsidR="005538F4" w:rsidRPr="00357FE4" w:rsidRDefault="00AC4588" w:rsidP="001B5A8A">
      <w:pPr>
        <w:pStyle w:val="Body0"/>
      </w:pPr>
      <w:r>
        <w:t>DPIE (</w:t>
      </w:r>
      <w:r w:rsidR="00454B5D">
        <w:t xml:space="preserve">NSW </w:t>
      </w:r>
      <w:r w:rsidR="005538F4" w:rsidRPr="00357FE4">
        <w:t>Department of Planning, Industry and Environment)</w:t>
      </w:r>
      <w:r>
        <w:t xml:space="preserve"> (2021).</w:t>
      </w:r>
      <w:r w:rsidR="005538F4" w:rsidRPr="00357FE4">
        <w:t xml:space="preserve"> </w:t>
      </w:r>
      <w:hyperlink r:id="rId19" w:history="1">
        <w:r w:rsidR="005538F4" w:rsidRPr="00BE7E6E">
          <w:rPr>
            <w:rStyle w:val="Hyperlink"/>
            <w:i/>
            <w:iCs/>
          </w:rPr>
          <w:t xml:space="preserve">Climate </w:t>
        </w:r>
        <w:r w:rsidR="00BE7E6E" w:rsidRPr="00BE7E6E">
          <w:rPr>
            <w:rStyle w:val="Hyperlink"/>
            <w:i/>
            <w:iCs/>
          </w:rPr>
          <w:t>r</w:t>
        </w:r>
        <w:r w:rsidR="005538F4" w:rsidRPr="00BE7E6E">
          <w:rPr>
            <w:rStyle w:val="Hyperlink"/>
            <w:i/>
            <w:iCs/>
          </w:rPr>
          <w:t xml:space="preserve">isk </w:t>
        </w:r>
        <w:r w:rsidR="00BE7E6E" w:rsidRPr="00BE7E6E">
          <w:rPr>
            <w:rStyle w:val="Hyperlink"/>
            <w:i/>
            <w:iCs/>
          </w:rPr>
          <w:t>r</w:t>
        </w:r>
        <w:r w:rsidR="005538F4" w:rsidRPr="00BE7E6E">
          <w:rPr>
            <w:rStyle w:val="Hyperlink"/>
            <w:i/>
            <w:iCs/>
          </w:rPr>
          <w:t xml:space="preserve">eady NSW </w:t>
        </w:r>
        <w:r w:rsidR="00BE7E6E" w:rsidRPr="00BE7E6E">
          <w:rPr>
            <w:rStyle w:val="Hyperlink"/>
            <w:i/>
            <w:iCs/>
          </w:rPr>
          <w:t>g</w:t>
        </w:r>
        <w:r w:rsidR="005538F4" w:rsidRPr="00BE7E6E">
          <w:rPr>
            <w:rStyle w:val="Hyperlink"/>
            <w:i/>
            <w:iCs/>
          </w:rPr>
          <w:t>uide</w:t>
        </w:r>
      </w:hyperlink>
    </w:p>
    <w:p w14:paraId="2358C617" w14:textId="3A154B89" w:rsidR="005538F4" w:rsidRPr="00357FE4" w:rsidRDefault="00BE7E6E" w:rsidP="001B5A8A">
      <w:pPr>
        <w:pStyle w:val="Body0"/>
      </w:pPr>
      <w:r w:rsidRPr="00BE7E6E">
        <w:t xml:space="preserve">Hunter Joint Organisation </w:t>
      </w:r>
      <w:r>
        <w:t xml:space="preserve">(2021). </w:t>
      </w:r>
      <w:hyperlink r:id="rId20" w:history="1">
        <w:r w:rsidRPr="00BE7E6E">
          <w:rPr>
            <w:rStyle w:val="Hyperlink"/>
          </w:rPr>
          <w:t>Climate Change Integrated Planning and Reporting (IP&amp;R) Package</w:t>
        </w:r>
      </w:hyperlink>
      <w:r>
        <w:t>, Section 4.3 – Delivery program, and Section 4.4 – Operational plan</w:t>
      </w:r>
    </w:p>
    <w:p w14:paraId="5BAE7570" w14:textId="7B250C54" w:rsidR="005538F4" w:rsidRPr="00357FE4" w:rsidRDefault="00C97776" w:rsidP="001B5A8A">
      <w:pPr>
        <w:pStyle w:val="Body0"/>
      </w:pPr>
      <w:r w:rsidRPr="00DE4799">
        <w:t xml:space="preserve">NSW </w:t>
      </w:r>
      <w:hyperlink r:id="rId21" w:history="1">
        <w:r w:rsidRPr="00DE4799">
          <w:rPr>
            <w:rStyle w:val="Hyperlink"/>
          </w:rPr>
          <w:t>Local Government Climate Readiness Tool</w:t>
        </w:r>
      </w:hyperlink>
    </w:p>
    <w:p w14:paraId="68829C91" w14:textId="02038AC7" w:rsidR="005538F4" w:rsidRPr="00357FE4" w:rsidRDefault="005538F4" w:rsidP="00454B5D">
      <w:pPr>
        <w:pStyle w:val="Body0"/>
        <w:rPr>
          <w:color w:val="0000FF"/>
          <w:u w:val="single"/>
        </w:rPr>
      </w:pPr>
    </w:p>
    <w:sectPr w:rsidR="005538F4" w:rsidRPr="00357FE4" w:rsidSect="005F20A0">
      <w:endnotePr>
        <w:numFmt w:val="decimal"/>
      </w:endnotePr>
      <w:pgSz w:w="11906" w:h="16838" w:code="9"/>
      <w:pgMar w:top="1954" w:right="1134" w:bottom="1134" w:left="1134" w:header="573" w:footer="53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ED0E" w14:textId="77777777" w:rsidR="00662155" w:rsidRDefault="00662155">
      <w:r>
        <w:separator/>
      </w:r>
    </w:p>
  </w:endnote>
  <w:endnote w:type="continuationSeparator" w:id="0">
    <w:p w14:paraId="309B5095" w14:textId="77777777" w:rsidR="00662155" w:rsidRDefault="0066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Public Sans SemiBold">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ACFF" w14:textId="6A98D2F3" w:rsidR="008C0865" w:rsidRPr="00DD2312" w:rsidRDefault="008C0865" w:rsidP="00092FA1">
    <w:pPr>
      <w:pStyle w:val="Footer"/>
      <w:tabs>
        <w:tab w:val="clear" w:pos="4153"/>
        <w:tab w:val="clear" w:pos="8306"/>
        <w:tab w:val="center" w:pos="9498"/>
        <w:tab w:val="left" w:pos="9638"/>
      </w:tabs>
      <w:jc w:val="left"/>
    </w:pPr>
    <w:r w:rsidRPr="005F2A0F">
      <w:t>Climate risk and adaptation mon</w:t>
    </w:r>
    <w:r>
      <w:t>itoring and evaluation template</w:t>
    </w:r>
    <w:r>
      <w:tab/>
    </w:r>
    <w:r>
      <w:rPr>
        <w:rStyle w:val="PageNumber"/>
      </w:rPr>
      <w:fldChar w:fldCharType="begin"/>
    </w:r>
    <w:r>
      <w:rPr>
        <w:rStyle w:val="PageNumber"/>
      </w:rPr>
      <w:instrText xml:space="preserve">PAGE  </w:instrText>
    </w:r>
    <w:r>
      <w:rPr>
        <w:rStyle w:val="PageNumber"/>
      </w:rPr>
      <w:fldChar w:fldCharType="separate"/>
    </w:r>
    <w:r w:rsidR="002B6A77">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5657" w14:textId="77777777" w:rsidR="00662155" w:rsidRDefault="00662155">
      <w:r>
        <w:separator/>
      </w:r>
    </w:p>
  </w:footnote>
  <w:footnote w:type="continuationSeparator" w:id="0">
    <w:p w14:paraId="0DBF5C85" w14:textId="77777777" w:rsidR="00662155" w:rsidRDefault="00662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5C81" w14:textId="5AFCC88C" w:rsidR="00B81776" w:rsidRDefault="008C0865" w:rsidP="00DD2312">
    <w:pPr>
      <w:widowControl w:val="0"/>
      <w:spacing w:before="240" w:after="240"/>
      <w:contextualSpacing/>
    </w:pPr>
    <w:r>
      <w:rPr>
        <w:noProof/>
        <w:lang w:val="en-GB" w:eastAsia="en-GB"/>
      </w:rPr>
      <w:drawing>
        <wp:anchor distT="0" distB="0" distL="114300" distR="114300" simplePos="0" relativeHeight="251659264" behindDoc="0" locked="0" layoutInCell="1" allowOverlap="1" wp14:anchorId="4628C602" wp14:editId="1CB85DC7">
          <wp:simplePos x="0" y="0"/>
          <wp:positionH relativeFrom="column">
            <wp:posOffset>5672225</wp:posOffset>
          </wp:positionH>
          <wp:positionV relativeFrom="paragraph">
            <wp:posOffset>-239908</wp:posOffset>
          </wp:positionV>
          <wp:extent cx="704850" cy="775970"/>
          <wp:effectExtent l="0" t="0" r="0" b="0"/>
          <wp:wrapNone/>
          <wp:docPr id="2" name="Picture 2" descr="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75970"/>
                  </a:xfrm>
                  <a:prstGeom prst="rect">
                    <a:avLst/>
                  </a:prstGeom>
                  <a:noFill/>
                  <a:ln>
                    <a:noFill/>
                  </a:ln>
                </pic:spPr>
              </pic:pic>
            </a:graphicData>
          </a:graphic>
        </wp:anchor>
      </w:drawing>
    </w:r>
    <w:r>
      <w:t xml:space="preserve">Local Government </w:t>
    </w:r>
    <w:r w:rsidR="00B81776">
      <w:t>Resources</w:t>
    </w:r>
  </w:p>
  <w:p w14:paraId="13E0ACF8" w14:textId="03B3EF2E" w:rsidR="008C0865" w:rsidRPr="00DD2312" w:rsidRDefault="00B81776" w:rsidP="00DD2312">
    <w:pPr>
      <w:widowControl w:val="0"/>
      <w:spacing w:before="240" w:after="240"/>
      <w:contextualSpacing/>
      <w:rPr>
        <w:lang w:val="en-US"/>
      </w:rPr>
    </w:pPr>
    <w:r>
      <w:rPr>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0C4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862A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508B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8042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49E992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49A54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18C35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74F92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FF87DB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CDE0E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F65F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DA52E3"/>
    <w:multiLevelType w:val="hybridMultilevel"/>
    <w:tmpl w:val="36AA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B63955"/>
    <w:multiLevelType w:val="hybridMultilevel"/>
    <w:tmpl w:val="83860F62"/>
    <w:lvl w:ilvl="0" w:tplc="A7FAB394">
      <w:numFmt w:val="bullet"/>
      <w:pStyle w:val="Bullet1"/>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8542D6"/>
    <w:multiLevelType w:val="hybridMultilevel"/>
    <w:tmpl w:val="BEDC8682"/>
    <w:lvl w:ilvl="0" w:tplc="933498E2">
      <w:start w:val="1"/>
      <w:numFmt w:val="bullet"/>
      <w:lvlText w:val="•"/>
      <w:lvlJc w:val="left"/>
      <w:pPr>
        <w:tabs>
          <w:tab w:val="num" w:pos="720"/>
        </w:tabs>
        <w:ind w:left="720" w:hanging="360"/>
      </w:pPr>
      <w:rPr>
        <w:rFonts w:ascii="Arial" w:hAnsi="Arial" w:hint="default"/>
      </w:rPr>
    </w:lvl>
    <w:lvl w:ilvl="1" w:tplc="87F8B71C">
      <w:numFmt w:val="bullet"/>
      <w:lvlText w:val="•"/>
      <w:lvlJc w:val="left"/>
      <w:pPr>
        <w:tabs>
          <w:tab w:val="num" w:pos="1440"/>
        </w:tabs>
        <w:ind w:left="1440" w:hanging="360"/>
      </w:pPr>
      <w:rPr>
        <w:rFonts w:ascii="Arial" w:hAnsi="Arial" w:hint="default"/>
      </w:rPr>
    </w:lvl>
    <w:lvl w:ilvl="2" w:tplc="63122BB4" w:tentative="1">
      <w:start w:val="1"/>
      <w:numFmt w:val="bullet"/>
      <w:lvlText w:val="•"/>
      <w:lvlJc w:val="left"/>
      <w:pPr>
        <w:tabs>
          <w:tab w:val="num" w:pos="2160"/>
        </w:tabs>
        <w:ind w:left="2160" w:hanging="360"/>
      </w:pPr>
      <w:rPr>
        <w:rFonts w:ascii="Arial" w:hAnsi="Arial" w:hint="default"/>
      </w:rPr>
    </w:lvl>
    <w:lvl w:ilvl="3" w:tplc="F0A8E3FA" w:tentative="1">
      <w:start w:val="1"/>
      <w:numFmt w:val="bullet"/>
      <w:lvlText w:val="•"/>
      <w:lvlJc w:val="left"/>
      <w:pPr>
        <w:tabs>
          <w:tab w:val="num" w:pos="2880"/>
        </w:tabs>
        <w:ind w:left="2880" w:hanging="360"/>
      </w:pPr>
      <w:rPr>
        <w:rFonts w:ascii="Arial" w:hAnsi="Arial" w:hint="default"/>
      </w:rPr>
    </w:lvl>
    <w:lvl w:ilvl="4" w:tplc="7B8076D4" w:tentative="1">
      <w:start w:val="1"/>
      <w:numFmt w:val="bullet"/>
      <w:lvlText w:val="•"/>
      <w:lvlJc w:val="left"/>
      <w:pPr>
        <w:tabs>
          <w:tab w:val="num" w:pos="3600"/>
        </w:tabs>
        <w:ind w:left="3600" w:hanging="360"/>
      </w:pPr>
      <w:rPr>
        <w:rFonts w:ascii="Arial" w:hAnsi="Arial" w:hint="default"/>
      </w:rPr>
    </w:lvl>
    <w:lvl w:ilvl="5" w:tplc="109EECDC" w:tentative="1">
      <w:start w:val="1"/>
      <w:numFmt w:val="bullet"/>
      <w:lvlText w:val="•"/>
      <w:lvlJc w:val="left"/>
      <w:pPr>
        <w:tabs>
          <w:tab w:val="num" w:pos="4320"/>
        </w:tabs>
        <w:ind w:left="4320" w:hanging="360"/>
      </w:pPr>
      <w:rPr>
        <w:rFonts w:ascii="Arial" w:hAnsi="Arial" w:hint="default"/>
      </w:rPr>
    </w:lvl>
    <w:lvl w:ilvl="6" w:tplc="6E7C2AAA" w:tentative="1">
      <w:start w:val="1"/>
      <w:numFmt w:val="bullet"/>
      <w:lvlText w:val="•"/>
      <w:lvlJc w:val="left"/>
      <w:pPr>
        <w:tabs>
          <w:tab w:val="num" w:pos="5040"/>
        </w:tabs>
        <w:ind w:left="5040" w:hanging="360"/>
      </w:pPr>
      <w:rPr>
        <w:rFonts w:ascii="Arial" w:hAnsi="Arial" w:hint="default"/>
      </w:rPr>
    </w:lvl>
    <w:lvl w:ilvl="7" w:tplc="20FA873C" w:tentative="1">
      <w:start w:val="1"/>
      <w:numFmt w:val="bullet"/>
      <w:lvlText w:val="•"/>
      <w:lvlJc w:val="left"/>
      <w:pPr>
        <w:tabs>
          <w:tab w:val="num" w:pos="5760"/>
        </w:tabs>
        <w:ind w:left="5760" w:hanging="360"/>
      </w:pPr>
      <w:rPr>
        <w:rFonts w:ascii="Arial" w:hAnsi="Arial" w:hint="default"/>
      </w:rPr>
    </w:lvl>
    <w:lvl w:ilvl="8" w:tplc="87A43F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A656B6"/>
    <w:multiLevelType w:val="hybridMultilevel"/>
    <w:tmpl w:val="3864DD72"/>
    <w:lvl w:ilvl="0" w:tplc="E5F2F62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FD6141"/>
    <w:multiLevelType w:val="hybridMultilevel"/>
    <w:tmpl w:val="9B741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1D764B"/>
    <w:multiLevelType w:val="multilevel"/>
    <w:tmpl w:val="FACA9D98"/>
    <w:lvl w:ilvl="0">
      <w:start w:val="1"/>
      <w:numFmt w:val="decimal"/>
      <w:lvlText w:val="%1."/>
      <w:lvlJc w:val="left"/>
      <w:pPr>
        <w:ind w:left="360" w:hanging="360"/>
      </w:pPr>
    </w:lvl>
    <w:lvl w:ilvl="1">
      <w:start w:val="1"/>
      <w:numFmt w:val="decimal"/>
      <w:pStyle w:val="Heading2"/>
      <w:lvlText w:val="%1.%2."/>
      <w:lvlJc w:val="left"/>
      <w:pPr>
        <w:ind w:left="792" w:hanging="432"/>
      </w:pPr>
      <w:rPr>
        <w:color w:val="auto"/>
      </w:r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7010C2"/>
    <w:multiLevelType w:val="hybridMultilevel"/>
    <w:tmpl w:val="2D4C39EC"/>
    <w:lvl w:ilvl="0" w:tplc="5F6E8DD6">
      <w:start w:val="1"/>
      <w:numFmt w:val="bullet"/>
      <w:pStyle w:val="List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91D557A"/>
    <w:multiLevelType w:val="hybridMultilevel"/>
    <w:tmpl w:val="83A4ABFA"/>
    <w:lvl w:ilvl="0" w:tplc="434ABAEE">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2A31A4"/>
    <w:multiLevelType w:val="hybridMultilevel"/>
    <w:tmpl w:val="023868AC"/>
    <w:lvl w:ilvl="0" w:tplc="EE32997E">
      <w:numFmt w:val="bullet"/>
      <w:pStyle w:val="bullet"/>
      <w:lvlText w:val=""/>
      <w:lvlJc w:val="left"/>
      <w:pPr>
        <w:tabs>
          <w:tab w:val="num" w:pos="1080"/>
        </w:tabs>
        <w:ind w:left="1080" w:hanging="720"/>
      </w:pPr>
      <w:rPr>
        <w:rFonts w:ascii="Wingdings 2" w:hAnsi="Wingdings 2" w:cs="Arial" w:hint="default"/>
        <w:sz w:val="24"/>
        <w:u w:color="FFFF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B6D08"/>
    <w:multiLevelType w:val="multilevel"/>
    <w:tmpl w:val="C07E1B04"/>
    <w:lvl w:ilvl="0">
      <w:start w:val="1"/>
      <w:numFmt w:val="decimal"/>
      <w:pStyle w:val="Heading1"/>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21" w15:restartNumberingAfterBreak="0">
    <w:nsid w:val="7C801278"/>
    <w:multiLevelType w:val="multilevel"/>
    <w:tmpl w:val="8D6E5A0E"/>
    <w:lvl w:ilvl="0">
      <w:start w:val="1"/>
      <w:numFmt w:val="decimal"/>
      <w:lvlText w:val="%1."/>
      <w:lvlJc w:val="left"/>
      <w:pPr>
        <w:ind w:left="360" w:hanging="360"/>
      </w:pPr>
    </w:lvl>
    <w:lvl w:ilvl="1">
      <w:start w:val="1"/>
      <w:numFmt w:val="decimal"/>
      <w:pStyle w:val="Heading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1A537B"/>
    <w:multiLevelType w:val="hybridMultilevel"/>
    <w:tmpl w:val="82880E22"/>
    <w:lvl w:ilvl="0" w:tplc="0C09000F">
      <w:start w:val="1"/>
      <w:numFmt w:val="decimal"/>
      <w:lvlText w:val="%1."/>
      <w:lvlJc w:val="left"/>
      <w:pPr>
        <w:ind w:left="-1779" w:hanging="360"/>
      </w:pPr>
      <w:rPr>
        <w:rFonts w:hint="default"/>
      </w:rPr>
    </w:lvl>
    <w:lvl w:ilvl="1" w:tplc="0C090019">
      <w:start w:val="1"/>
      <w:numFmt w:val="lowerLetter"/>
      <w:lvlText w:val="%2."/>
      <w:lvlJc w:val="left"/>
      <w:pPr>
        <w:ind w:left="-1059" w:hanging="360"/>
      </w:pPr>
    </w:lvl>
    <w:lvl w:ilvl="2" w:tplc="0C09001B">
      <w:start w:val="1"/>
      <w:numFmt w:val="lowerRoman"/>
      <w:lvlText w:val="%3."/>
      <w:lvlJc w:val="right"/>
      <w:pPr>
        <w:ind w:left="-339" w:hanging="180"/>
      </w:pPr>
    </w:lvl>
    <w:lvl w:ilvl="3" w:tplc="0C09000F">
      <w:start w:val="1"/>
      <w:numFmt w:val="decimal"/>
      <w:lvlText w:val="%4."/>
      <w:lvlJc w:val="left"/>
      <w:pPr>
        <w:ind w:left="381" w:hanging="360"/>
      </w:pPr>
    </w:lvl>
    <w:lvl w:ilvl="4" w:tplc="0C090019" w:tentative="1">
      <w:start w:val="1"/>
      <w:numFmt w:val="lowerLetter"/>
      <w:lvlText w:val="%5."/>
      <w:lvlJc w:val="left"/>
      <w:pPr>
        <w:ind w:left="1101" w:hanging="360"/>
      </w:pPr>
    </w:lvl>
    <w:lvl w:ilvl="5" w:tplc="0C09001B" w:tentative="1">
      <w:start w:val="1"/>
      <w:numFmt w:val="lowerRoman"/>
      <w:lvlText w:val="%6."/>
      <w:lvlJc w:val="right"/>
      <w:pPr>
        <w:ind w:left="1821" w:hanging="180"/>
      </w:pPr>
    </w:lvl>
    <w:lvl w:ilvl="6" w:tplc="0C09000F" w:tentative="1">
      <w:start w:val="1"/>
      <w:numFmt w:val="decimal"/>
      <w:lvlText w:val="%7."/>
      <w:lvlJc w:val="left"/>
      <w:pPr>
        <w:ind w:left="2541" w:hanging="360"/>
      </w:pPr>
    </w:lvl>
    <w:lvl w:ilvl="7" w:tplc="0C090019" w:tentative="1">
      <w:start w:val="1"/>
      <w:numFmt w:val="lowerLetter"/>
      <w:lvlText w:val="%8."/>
      <w:lvlJc w:val="left"/>
      <w:pPr>
        <w:ind w:left="3261" w:hanging="360"/>
      </w:pPr>
    </w:lvl>
    <w:lvl w:ilvl="8" w:tplc="0C09001B" w:tentative="1">
      <w:start w:val="1"/>
      <w:numFmt w:val="lowerRoman"/>
      <w:lvlText w:val="%9."/>
      <w:lvlJc w:val="right"/>
      <w:pPr>
        <w:ind w:left="3981" w:hanging="180"/>
      </w:pPr>
    </w:lvl>
  </w:abstractNum>
  <w:num w:numId="1">
    <w:abstractNumId w:val="19"/>
  </w:num>
  <w:num w:numId="2">
    <w:abstractNumId w:val="21"/>
  </w:num>
  <w:num w:numId="3">
    <w:abstractNumId w:val="17"/>
  </w:num>
  <w:num w:numId="4">
    <w:abstractNumId w:val="11"/>
  </w:num>
  <w:num w:numId="5">
    <w:abstractNumId w:val="16"/>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2"/>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13"/>
  </w:num>
  <w:num w:numId="34">
    <w:abstractNumId w:val="14"/>
  </w:num>
  <w:num w:numId="35">
    <w:abstractNumId w:val="18"/>
  </w:num>
  <w:num w:numId="36">
    <w:abstractNumId w:val="15"/>
  </w:num>
  <w:num w:numId="37">
    <w:abstractNumId w:val="12"/>
  </w:num>
  <w:num w:numId="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lickAndTypeStyle w:val="BodyText"/>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23E"/>
    <w:rsid w:val="000004C3"/>
    <w:rsid w:val="00000FDB"/>
    <w:rsid w:val="0000109B"/>
    <w:rsid w:val="0000196C"/>
    <w:rsid w:val="000043CF"/>
    <w:rsid w:val="00004D89"/>
    <w:rsid w:val="000074BF"/>
    <w:rsid w:val="00010691"/>
    <w:rsid w:val="00012D67"/>
    <w:rsid w:val="0001356F"/>
    <w:rsid w:val="00014815"/>
    <w:rsid w:val="00014837"/>
    <w:rsid w:val="00020DD5"/>
    <w:rsid w:val="00021702"/>
    <w:rsid w:val="00021F25"/>
    <w:rsid w:val="00021FA1"/>
    <w:rsid w:val="0002228E"/>
    <w:rsid w:val="000232E6"/>
    <w:rsid w:val="00023CC2"/>
    <w:rsid w:val="00025951"/>
    <w:rsid w:val="000303BB"/>
    <w:rsid w:val="0003067A"/>
    <w:rsid w:val="000334F6"/>
    <w:rsid w:val="00033559"/>
    <w:rsid w:val="00033FC1"/>
    <w:rsid w:val="00036514"/>
    <w:rsid w:val="00037270"/>
    <w:rsid w:val="00037405"/>
    <w:rsid w:val="000403C4"/>
    <w:rsid w:val="00041620"/>
    <w:rsid w:val="00042250"/>
    <w:rsid w:val="00042953"/>
    <w:rsid w:val="00042B50"/>
    <w:rsid w:val="00044364"/>
    <w:rsid w:val="00044655"/>
    <w:rsid w:val="0004490A"/>
    <w:rsid w:val="00045BB3"/>
    <w:rsid w:val="00052103"/>
    <w:rsid w:val="00053499"/>
    <w:rsid w:val="00054A7F"/>
    <w:rsid w:val="000560CB"/>
    <w:rsid w:val="00057DAD"/>
    <w:rsid w:val="00057E9B"/>
    <w:rsid w:val="00064D2F"/>
    <w:rsid w:val="0006730C"/>
    <w:rsid w:val="00067D49"/>
    <w:rsid w:val="000728B8"/>
    <w:rsid w:val="00074D01"/>
    <w:rsid w:val="0007552F"/>
    <w:rsid w:val="00077200"/>
    <w:rsid w:val="00080AA8"/>
    <w:rsid w:val="00082A2E"/>
    <w:rsid w:val="00083EE6"/>
    <w:rsid w:val="000842B7"/>
    <w:rsid w:val="000842FE"/>
    <w:rsid w:val="00084E5C"/>
    <w:rsid w:val="000850CE"/>
    <w:rsid w:val="00087AC6"/>
    <w:rsid w:val="000901EA"/>
    <w:rsid w:val="000923E1"/>
    <w:rsid w:val="00092FA1"/>
    <w:rsid w:val="0009325A"/>
    <w:rsid w:val="00094820"/>
    <w:rsid w:val="00094E8B"/>
    <w:rsid w:val="000950E5"/>
    <w:rsid w:val="0009591E"/>
    <w:rsid w:val="00096C06"/>
    <w:rsid w:val="000A214F"/>
    <w:rsid w:val="000A52FB"/>
    <w:rsid w:val="000B0B13"/>
    <w:rsid w:val="000B0BA0"/>
    <w:rsid w:val="000B179A"/>
    <w:rsid w:val="000B4704"/>
    <w:rsid w:val="000B778F"/>
    <w:rsid w:val="000C0486"/>
    <w:rsid w:val="000C1050"/>
    <w:rsid w:val="000C4809"/>
    <w:rsid w:val="000C555D"/>
    <w:rsid w:val="000D05F9"/>
    <w:rsid w:val="000D3749"/>
    <w:rsid w:val="000D3E24"/>
    <w:rsid w:val="000D4488"/>
    <w:rsid w:val="000D5030"/>
    <w:rsid w:val="000D6A9B"/>
    <w:rsid w:val="000D6DB4"/>
    <w:rsid w:val="000E0254"/>
    <w:rsid w:val="000E0FFE"/>
    <w:rsid w:val="000E2E7D"/>
    <w:rsid w:val="000E5D3B"/>
    <w:rsid w:val="000F1200"/>
    <w:rsid w:val="000F16A8"/>
    <w:rsid w:val="000F1A44"/>
    <w:rsid w:val="000F384B"/>
    <w:rsid w:val="000F409C"/>
    <w:rsid w:val="000F6805"/>
    <w:rsid w:val="000F6A52"/>
    <w:rsid w:val="000F6BFA"/>
    <w:rsid w:val="000F7C8E"/>
    <w:rsid w:val="00100308"/>
    <w:rsid w:val="00100825"/>
    <w:rsid w:val="00107439"/>
    <w:rsid w:val="00110354"/>
    <w:rsid w:val="0011089F"/>
    <w:rsid w:val="00111D49"/>
    <w:rsid w:val="001133CB"/>
    <w:rsid w:val="0011394B"/>
    <w:rsid w:val="00115189"/>
    <w:rsid w:val="00116904"/>
    <w:rsid w:val="00120663"/>
    <w:rsid w:val="0012418F"/>
    <w:rsid w:val="00130B36"/>
    <w:rsid w:val="001322F5"/>
    <w:rsid w:val="0013254D"/>
    <w:rsid w:val="00134BA9"/>
    <w:rsid w:val="001355BF"/>
    <w:rsid w:val="00136590"/>
    <w:rsid w:val="00136CE5"/>
    <w:rsid w:val="0013782E"/>
    <w:rsid w:val="00142A81"/>
    <w:rsid w:val="00142CB8"/>
    <w:rsid w:val="0014497C"/>
    <w:rsid w:val="00145CF3"/>
    <w:rsid w:val="0014613F"/>
    <w:rsid w:val="00150843"/>
    <w:rsid w:val="0015108B"/>
    <w:rsid w:val="001517E1"/>
    <w:rsid w:val="00152590"/>
    <w:rsid w:val="00152C11"/>
    <w:rsid w:val="00153497"/>
    <w:rsid w:val="00153620"/>
    <w:rsid w:val="001537E0"/>
    <w:rsid w:val="00156F54"/>
    <w:rsid w:val="0016001D"/>
    <w:rsid w:val="00160333"/>
    <w:rsid w:val="001621B2"/>
    <w:rsid w:val="001666C4"/>
    <w:rsid w:val="00167B49"/>
    <w:rsid w:val="0017182B"/>
    <w:rsid w:val="001720CF"/>
    <w:rsid w:val="001731BE"/>
    <w:rsid w:val="001735D7"/>
    <w:rsid w:val="00175BF6"/>
    <w:rsid w:val="00177516"/>
    <w:rsid w:val="00180B20"/>
    <w:rsid w:val="00181223"/>
    <w:rsid w:val="0018291A"/>
    <w:rsid w:val="001835FD"/>
    <w:rsid w:val="00184346"/>
    <w:rsid w:val="0018712D"/>
    <w:rsid w:val="0018765D"/>
    <w:rsid w:val="001921D1"/>
    <w:rsid w:val="001921F5"/>
    <w:rsid w:val="0019248A"/>
    <w:rsid w:val="00193BF7"/>
    <w:rsid w:val="00195B36"/>
    <w:rsid w:val="00196B69"/>
    <w:rsid w:val="00197477"/>
    <w:rsid w:val="001A0420"/>
    <w:rsid w:val="001A1029"/>
    <w:rsid w:val="001A2726"/>
    <w:rsid w:val="001A7E3A"/>
    <w:rsid w:val="001A7FA8"/>
    <w:rsid w:val="001B3EB3"/>
    <w:rsid w:val="001B43AB"/>
    <w:rsid w:val="001B4518"/>
    <w:rsid w:val="001B59A9"/>
    <w:rsid w:val="001B5A8A"/>
    <w:rsid w:val="001B6104"/>
    <w:rsid w:val="001B62A5"/>
    <w:rsid w:val="001B6539"/>
    <w:rsid w:val="001B66CA"/>
    <w:rsid w:val="001B6A01"/>
    <w:rsid w:val="001B7661"/>
    <w:rsid w:val="001C0E49"/>
    <w:rsid w:val="001C1714"/>
    <w:rsid w:val="001C26C8"/>
    <w:rsid w:val="001C4990"/>
    <w:rsid w:val="001D0568"/>
    <w:rsid w:val="001D30EC"/>
    <w:rsid w:val="001D49BA"/>
    <w:rsid w:val="001D58FB"/>
    <w:rsid w:val="001D7F17"/>
    <w:rsid w:val="001E0F0C"/>
    <w:rsid w:val="001E1511"/>
    <w:rsid w:val="001E7117"/>
    <w:rsid w:val="001F546E"/>
    <w:rsid w:val="001F5808"/>
    <w:rsid w:val="00207908"/>
    <w:rsid w:val="0020794A"/>
    <w:rsid w:val="00207B5F"/>
    <w:rsid w:val="00210416"/>
    <w:rsid w:val="0021117E"/>
    <w:rsid w:val="00212DBC"/>
    <w:rsid w:val="002154B2"/>
    <w:rsid w:val="00215DA5"/>
    <w:rsid w:val="00216056"/>
    <w:rsid w:val="00222B03"/>
    <w:rsid w:val="002240C5"/>
    <w:rsid w:val="002242C9"/>
    <w:rsid w:val="00224450"/>
    <w:rsid w:val="002244A9"/>
    <w:rsid w:val="00226031"/>
    <w:rsid w:val="0022786D"/>
    <w:rsid w:val="00227CAD"/>
    <w:rsid w:val="002305A6"/>
    <w:rsid w:val="00231160"/>
    <w:rsid w:val="00232336"/>
    <w:rsid w:val="0023378F"/>
    <w:rsid w:val="00240AC0"/>
    <w:rsid w:val="00240DF3"/>
    <w:rsid w:val="0024227C"/>
    <w:rsid w:val="00243A48"/>
    <w:rsid w:val="00243D73"/>
    <w:rsid w:val="00244BD3"/>
    <w:rsid w:val="00244ED8"/>
    <w:rsid w:val="00245765"/>
    <w:rsid w:val="00251836"/>
    <w:rsid w:val="00252BE0"/>
    <w:rsid w:val="00253233"/>
    <w:rsid w:val="0025574F"/>
    <w:rsid w:val="0025650C"/>
    <w:rsid w:val="002576F6"/>
    <w:rsid w:val="0026042D"/>
    <w:rsid w:val="00264937"/>
    <w:rsid w:val="002679FA"/>
    <w:rsid w:val="002720DB"/>
    <w:rsid w:val="00273F62"/>
    <w:rsid w:val="00274F8B"/>
    <w:rsid w:val="00282596"/>
    <w:rsid w:val="00282D34"/>
    <w:rsid w:val="0028429E"/>
    <w:rsid w:val="002846EA"/>
    <w:rsid w:val="00285B4E"/>
    <w:rsid w:val="0029043C"/>
    <w:rsid w:val="0029134F"/>
    <w:rsid w:val="0029235B"/>
    <w:rsid w:val="00292943"/>
    <w:rsid w:val="00293039"/>
    <w:rsid w:val="00293342"/>
    <w:rsid w:val="00294347"/>
    <w:rsid w:val="00294EEE"/>
    <w:rsid w:val="00295F4E"/>
    <w:rsid w:val="002962DB"/>
    <w:rsid w:val="0029637D"/>
    <w:rsid w:val="002A194F"/>
    <w:rsid w:val="002A2539"/>
    <w:rsid w:val="002A2623"/>
    <w:rsid w:val="002A2E1A"/>
    <w:rsid w:val="002A30F5"/>
    <w:rsid w:val="002A32EC"/>
    <w:rsid w:val="002A36A5"/>
    <w:rsid w:val="002A4A97"/>
    <w:rsid w:val="002A561E"/>
    <w:rsid w:val="002B0053"/>
    <w:rsid w:val="002B0B84"/>
    <w:rsid w:val="002B0F45"/>
    <w:rsid w:val="002B0F6C"/>
    <w:rsid w:val="002B17E9"/>
    <w:rsid w:val="002B3A68"/>
    <w:rsid w:val="002B4E4B"/>
    <w:rsid w:val="002B6A77"/>
    <w:rsid w:val="002B7E07"/>
    <w:rsid w:val="002C0238"/>
    <w:rsid w:val="002C1626"/>
    <w:rsid w:val="002C19D4"/>
    <w:rsid w:val="002C265B"/>
    <w:rsid w:val="002C4A9E"/>
    <w:rsid w:val="002C51CC"/>
    <w:rsid w:val="002C5ACB"/>
    <w:rsid w:val="002C5ACC"/>
    <w:rsid w:val="002C65C0"/>
    <w:rsid w:val="002C67D3"/>
    <w:rsid w:val="002C69BF"/>
    <w:rsid w:val="002C7227"/>
    <w:rsid w:val="002D083B"/>
    <w:rsid w:val="002D4BFA"/>
    <w:rsid w:val="002D5588"/>
    <w:rsid w:val="002E0A6F"/>
    <w:rsid w:val="002E0E06"/>
    <w:rsid w:val="002E278E"/>
    <w:rsid w:val="002E2D28"/>
    <w:rsid w:val="002E4811"/>
    <w:rsid w:val="002E5575"/>
    <w:rsid w:val="002E7C6F"/>
    <w:rsid w:val="002F1A74"/>
    <w:rsid w:val="002F5E7D"/>
    <w:rsid w:val="002F70DC"/>
    <w:rsid w:val="002F77B6"/>
    <w:rsid w:val="0030312A"/>
    <w:rsid w:val="00303601"/>
    <w:rsid w:val="00304261"/>
    <w:rsid w:val="00304DEC"/>
    <w:rsid w:val="00305499"/>
    <w:rsid w:val="00306E2A"/>
    <w:rsid w:val="00312770"/>
    <w:rsid w:val="00313808"/>
    <w:rsid w:val="00313FBC"/>
    <w:rsid w:val="00317126"/>
    <w:rsid w:val="00320448"/>
    <w:rsid w:val="00320E6F"/>
    <w:rsid w:val="00320FFB"/>
    <w:rsid w:val="00321AC1"/>
    <w:rsid w:val="00323B05"/>
    <w:rsid w:val="00324F04"/>
    <w:rsid w:val="00326854"/>
    <w:rsid w:val="00327208"/>
    <w:rsid w:val="003279CB"/>
    <w:rsid w:val="0033274C"/>
    <w:rsid w:val="00332AF7"/>
    <w:rsid w:val="00333422"/>
    <w:rsid w:val="00334532"/>
    <w:rsid w:val="003355DB"/>
    <w:rsid w:val="00342F7E"/>
    <w:rsid w:val="00344B29"/>
    <w:rsid w:val="00345934"/>
    <w:rsid w:val="003461A2"/>
    <w:rsid w:val="0034752D"/>
    <w:rsid w:val="00347C87"/>
    <w:rsid w:val="0035100B"/>
    <w:rsid w:val="00352D78"/>
    <w:rsid w:val="00352E97"/>
    <w:rsid w:val="00355334"/>
    <w:rsid w:val="003556FE"/>
    <w:rsid w:val="0035651A"/>
    <w:rsid w:val="00357FE4"/>
    <w:rsid w:val="0036030F"/>
    <w:rsid w:val="00360B5A"/>
    <w:rsid w:val="00361637"/>
    <w:rsid w:val="0036238A"/>
    <w:rsid w:val="00362A5A"/>
    <w:rsid w:val="00362CFE"/>
    <w:rsid w:val="0036313B"/>
    <w:rsid w:val="00364AC4"/>
    <w:rsid w:val="00365DB7"/>
    <w:rsid w:val="00366B03"/>
    <w:rsid w:val="00367011"/>
    <w:rsid w:val="00371079"/>
    <w:rsid w:val="00372642"/>
    <w:rsid w:val="00374DEE"/>
    <w:rsid w:val="003760C4"/>
    <w:rsid w:val="0037632C"/>
    <w:rsid w:val="00381089"/>
    <w:rsid w:val="00384C7D"/>
    <w:rsid w:val="0038630C"/>
    <w:rsid w:val="003867E5"/>
    <w:rsid w:val="00390449"/>
    <w:rsid w:val="00393C43"/>
    <w:rsid w:val="00396B47"/>
    <w:rsid w:val="003A38F4"/>
    <w:rsid w:val="003A44ED"/>
    <w:rsid w:val="003A45EC"/>
    <w:rsid w:val="003A53F3"/>
    <w:rsid w:val="003A7B3A"/>
    <w:rsid w:val="003B123C"/>
    <w:rsid w:val="003B1A4E"/>
    <w:rsid w:val="003B375F"/>
    <w:rsid w:val="003B565E"/>
    <w:rsid w:val="003B6363"/>
    <w:rsid w:val="003C0527"/>
    <w:rsid w:val="003C1EBB"/>
    <w:rsid w:val="003C3F0B"/>
    <w:rsid w:val="003C41C6"/>
    <w:rsid w:val="003C51D8"/>
    <w:rsid w:val="003C5F4E"/>
    <w:rsid w:val="003C6C04"/>
    <w:rsid w:val="003C73E7"/>
    <w:rsid w:val="003D1F1B"/>
    <w:rsid w:val="003D4629"/>
    <w:rsid w:val="003D5415"/>
    <w:rsid w:val="003D592D"/>
    <w:rsid w:val="003D6B03"/>
    <w:rsid w:val="003E035D"/>
    <w:rsid w:val="003E33C9"/>
    <w:rsid w:val="003E58D8"/>
    <w:rsid w:val="003E66C8"/>
    <w:rsid w:val="003F189C"/>
    <w:rsid w:val="003F629C"/>
    <w:rsid w:val="00402C09"/>
    <w:rsid w:val="00403B86"/>
    <w:rsid w:val="0041048A"/>
    <w:rsid w:val="0041204D"/>
    <w:rsid w:val="0041230D"/>
    <w:rsid w:val="00412E98"/>
    <w:rsid w:val="00413E31"/>
    <w:rsid w:val="0041443B"/>
    <w:rsid w:val="0041637A"/>
    <w:rsid w:val="00420E8E"/>
    <w:rsid w:val="0042222A"/>
    <w:rsid w:val="00422BBB"/>
    <w:rsid w:val="00422F8C"/>
    <w:rsid w:val="00426D13"/>
    <w:rsid w:val="00427815"/>
    <w:rsid w:val="004347AB"/>
    <w:rsid w:val="004377C6"/>
    <w:rsid w:val="00437815"/>
    <w:rsid w:val="004400E3"/>
    <w:rsid w:val="00440BAE"/>
    <w:rsid w:val="00441F54"/>
    <w:rsid w:val="00441F59"/>
    <w:rsid w:val="00442CCB"/>
    <w:rsid w:val="00443183"/>
    <w:rsid w:val="004439D3"/>
    <w:rsid w:val="00443E8C"/>
    <w:rsid w:val="00446174"/>
    <w:rsid w:val="0045343F"/>
    <w:rsid w:val="00454B5D"/>
    <w:rsid w:val="00460086"/>
    <w:rsid w:val="00467476"/>
    <w:rsid w:val="00470A0A"/>
    <w:rsid w:val="00473D08"/>
    <w:rsid w:val="00474916"/>
    <w:rsid w:val="0047542F"/>
    <w:rsid w:val="00476C37"/>
    <w:rsid w:val="00480653"/>
    <w:rsid w:val="00480F8E"/>
    <w:rsid w:val="00482BD6"/>
    <w:rsid w:val="004837C6"/>
    <w:rsid w:val="004849EE"/>
    <w:rsid w:val="00485857"/>
    <w:rsid w:val="004903BC"/>
    <w:rsid w:val="00491C4F"/>
    <w:rsid w:val="00491FFF"/>
    <w:rsid w:val="00493465"/>
    <w:rsid w:val="0049440F"/>
    <w:rsid w:val="00495013"/>
    <w:rsid w:val="00495FCA"/>
    <w:rsid w:val="004A28E1"/>
    <w:rsid w:val="004A2EEC"/>
    <w:rsid w:val="004A2F8D"/>
    <w:rsid w:val="004A3111"/>
    <w:rsid w:val="004A320E"/>
    <w:rsid w:val="004A345E"/>
    <w:rsid w:val="004A4550"/>
    <w:rsid w:val="004A5B8D"/>
    <w:rsid w:val="004A792E"/>
    <w:rsid w:val="004B5B79"/>
    <w:rsid w:val="004B6540"/>
    <w:rsid w:val="004B6FC7"/>
    <w:rsid w:val="004B78F3"/>
    <w:rsid w:val="004B7FDF"/>
    <w:rsid w:val="004C1577"/>
    <w:rsid w:val="004C1DFD"/>
    <w:rsid w:val="004C3DE9"/>
    <w:rsid w:val="004C6224"/>
    <w:rsid w:val="004C662D"/>
    <w:rsid w:val="004D00EF"/>
    <w:rsid w:val="004D0541"/>
    <w:rsid w:val="004D12EB"/>
    <w:rsid w:val="004D228E"/>
    <w:rsid w:val="004D3C62"/>
    <w:rsid w:val="004D4854"/>
    <w:rsid w:val="004D6BD4"/>
    <w:rsid w:val="004D7767"/>
    <w:rsid w:val="004D7885"/>
    <w:rsid w:val="004D7CE9"/>
    <w:rsid w:val="004E0309"/>
    <w:rsid w:val="004E2727"/>
    <w:rsid w:val="004E3939"/>
    <w:rsid w:val="004E58EC"/>
    <w:rsid w:val="004E685D"/>
    <w:rsid w:val="004F004A"/>
    <w:rsid w:val="004F02B1"/>
    <w:rsid w:val="004F2D86"/>
    <w:rsid w:val="004F7401"/>
    <w:rsid w:val="005043B6"/>
    <w:rsid w:val="005103D7"/>
    <w:rsid w:val="00512042"/>
    <w:rsid w:val="0051283A"/>
    <w:rsid w:val="00512C73"/>
    <w:rsid w:val="00513526"/>
    <w:rsid w:val="00513B5A"/>
    <w:rsid w:val="00514FD3"/>
    <w:rsid w:val="0051528F"/>
    <w:rsid w:val="00517507"/>
    <w:rsid w:val="00520A77"/>
    <w:rsid w:val="005215F5"/>
    <w:rsid w:val="005233AE"/>
    <w:rsid w:val="00523432"/>
    <w:rsid w:val="00524489"/>
    <w:rsid w:val="00524C0F"/>
    <w:rsid w:val="0052516E"/>
    <w:rsid w:val="00525AC9"/>
    <w:rsid w:val="005269F9"/>
    <w:rsid w:val="00526D9B"/>
    <w:rsid w:val="00527D87"/>
    <w:rsid w:val="00527FC7"/>
    <w:rsid w:val="005338DE"/>
    <w:rsid w:val="005369F7"/>
    <w:rsid w:val="00536AEA"/>
    <w:rsid w:val="005401A5"/>
    <w:rsid w:val="00541865"/>
    <w:rsid w:val="00543099"/>
    <w:rsid w:val="00543CFF"/>
    <w:rsid w:val="00545AB5"/>
    <w:rsid w:val="0054743B"/>
    <w:rsid w:val="005538F4"/>
    <w:rsid w:val="005541A3"/>
    <w:rsid w:val="00555703"/>
    <w:rsid w:val="00555770"/>
    <w:rsid w:val="00555892"/>
    <w:rsid w:val="00555D76"/>
    <w:rsid w:val="00556037"/>
    <w:rsid w:val="005564E0"/>
    <w:rsid w:val="00560007"/>
    <w:rsid w:val="00562976"/>
    <w:rsid w:val="00562D20"/>
    <w:rsid w:val="0056469F"/>
    <w:rsid w:val="00565692"/>
    <w:rsid w:val="00566630"/>
    <w:rsid w:val="00566996"/>
    <w:rsid w:val="00566C6E"/>
    <w:rsid w:val="00566D6A"/>
    <w:rsid w:val="00571320"/>
    <w:rsid w:val="00573173"/>
    <w:rsid w:val="005734FF"/>
    <w:rsid w:val="00576182"/>
    <w:rsid w:val="00584DF9"/>
    <w:rsid w:val="0058549B"/>
    <w:rsid w:val="00586164"/>
    <w:rsid w:val="0059013E"/>
    <w:rsid w:val="00590851"/>
    <w:rsid w:val="00591151"/>
    <w:rsid w:val="005925F4"/>
    <w:rsid w:val="0059372C"/>
    <w:rsid w:val="00593AA7"/>
    <w:rsid w:val="005954AC"/>
    <w:rsid w:val="00597940"/>
    <w:rsid w:val="005A2125"/>
    <w:rsid w:val="005A29DA"/>
    <w:rsid w:val="005A5533"/>
    <w:rsid w:val="005B0BE8"/>
    <w:rsid w:val="005B23DF"/>
    <w:rsid w:val="005B2B13"/>
    <w:rsid w:val="005B52C9"/>
    <w:rsid w:val="005B6449"/>
    <w:rsid w:val="005B665B"/>
    <w:rsid w:val="005C0350"/>
    <w:rsid w:val="005C24BF"/>
    <w:rsid w:val="005C2DDB"/>
    <w:rsid w:val="005C33C3"/>
    <w:rsid w:val="005C4C8D"/>
    <w:rsid w:val="005C5712"/>
    <w:rsid w:val="005C5EB3"/>
    <w:rsid w:val="005C779A"/>
    <w:rsid w:val="005D6A89"/>
    <w:rsid w:val="005D7B0D"/>
    <w:rsid w:val="005E326A"/>
    <w:rsid w:val="005E5FC1"/>
    <w:rsid w:val="005F20A0"/>
    <w:rsid w:val="005F593E"/>
    <w:rsid w:val="005F7E80"/>
    <w:rsid w:val="00602A06"/>
    <w:rsid w:val="0060646E"/>
    <w:rsid w:val="00610B85"/>
    <w:rsid w:val="006178E2"/>
    <w:rsid w:val="006207DF"/>
    <w:rsid w:val="00621769"/>
    <w:rsid w:val="006226CB"/>
    <w:rsid w:val="00624369"/>
    <w:rsid w:val="0062730D"/>
    <w:rsid w:val="00630752"/>
    <w:rsid w:val="00630B21"/>
    <w:rsid w:val="00630C49"/>
    <w:rsid w:val="00633068"/>
    <w:rsid w:val="00634993"/>
    <w:rsid w:val="00635DBE"/>
    <w:rsid w:val="00636872"/>
    <w:rsid w:val="00636F70"/>
    <w:rsid w:val="006402D3"/>
    <w:rsid w:val="006410AC"/>
    <w:rsid w:val="006415A2"/>
    <w:rsid w:val="00642506"/>
    <w:rsid w:val="006430E3"/>
    <w:rsid w:val="00644C17"/>
    <w:rsid w:val="00645686"/>
    <w:rsid w:val="00645DE8"/>
    <w:rsid w:val="006477F9"/>
    <w:rsid w:val="00650CD8"/>
    <w:rsid w:val="00652820"/>
    <w:rsid w:val="00653486"/>
    <w:rsid w:val="00653D94"/>
    <w:rsid w:val="00656B20"/>
    <w:rsid w:val="00660B8C"/>
    <w:rsid w:val="0066118A"/>
    <w:rsid w:val="00662155"/>
    <w:rsid w:val="006625C3"/>
    <w:rsid w:val="00662B4E"/>
    <w:rsid w:val="0066368E"/>
    <w:rsid w:val="006663CB"/>
    <w:rsid w:val="0066667F"/>
    <w:rsid w:val="00667EE3"/>
    <w:rsid w:val="00673382"/>
    <w:rsid w:val="00675FD8"/>
    <w:rsid w:val="00677593"/>
    <w:rsid w:val="00677C56"/>
    <w:rsid w:val="006807AA"/>
    <w:rsid w:val="00681CFF"/>
    <w:rsid w:val="006833B3"/>
    <w:rsid w:val="006866C0"/>
    <w:rsid w:val="00687BF7"/>
    <w:rsid w:val="006902B1"/>
    <w:rsid w:val="0069299B"/>
    <w:rsid w:val="00692E07"/>
    <w:rsid w:val="00694302"/>
    <w:rsid w:val="006943AE"/>
    <w:rsid w:val="00694FA8"/>
    <w:rsid w:val="00696CD2"/>
    <w:rsid w:val="006A1D67"/>
    <w:rsid w:val="006A3A0F"/>
    <w:rsid w:val="006A3BD7"/>
    <w:rsid w:val="006A5032"/>
    <w:rsid w:val="006B236F"/>
    <w:rsid w:val="006B34C2"/>
    <w:rsid w:val="006B39C4"/>
    <w:rsid w:val="006B4913"/>
    <w:rsid w:val="006B49E9"/>
    <w:rsid w:val="006C05C4"/>
    <w:rsid w:val="006C1D9B"/>
    <w:rsid w:val="006C2CD6"/>
    <w:rsid w:val="006C3D1F"/>
    <w:rsid w:val="006C4353"/>
    <w:rsid w:val="006C5001"/>
    <w:rsid w:val="006C6217"/>
    <w:rsid w:val="006C760E"/>
    <w:rsid w:val="006C7845"/>
    <w:rsid w:val="006D03C4"/>
    <w:rsid w:val="006D1D06"/>
    <w:rsid w:val="006D319F"/>
    <w:rsid w:val="006D5A4E"/>
    <w:rsid w:val="006D771C"/>
    <w:rsid w:val="006E12A9"/>
    <w:rsid w:val="006E505C"/>
    <w:rsid w:val="006F2208"/>
    <w:rsid w:val="006F299A"/>
    <w:rsid w:val="006F35E3"/>
    <w:rsid w:val="006F7FC9"/>
    <w:rsid w:val="00700644"/>
    <w:rsid w:val="00703048"/>
    <w:rsid w:val="00703FE2"/>
    <w:rsid w:val="00704600"/>
    <w:rsid w:val="00706D8C"/>
    <w:rsid w:val="007104AE"/>
    <w:rsid w:val="00710AB1"/>
    <w:rsid w:val="00710E6E"/>
    <w:rsid w:val="007113DF"/>
    <w:rsid w:val="0071286D"/>
    <w:rsid w:val="007135AC"/>
    <w:rsid w:val="00713D49"/>
    <w:rsid w:val="00720366"/>
    <w:rsid w:val="00720DFA"/>
    <w:rsid w:val="007210F7"/>
    <w:rsid w:val="00722EA8"/>
    <w:rsid w:val="00724971"/>
    <w:rsid w:val="007262D4"/>
    <w:rsid w:val="00726CCE"/>
    <w:rsid w:val="00731ED8"/>
    <w:rsid w:val="00732783"/>
    <w:rsid w:val="0073778D"/>
    <w:rsid w:val="007379A1"/>
    <w:rsid w:val="0074157D"/>
    <w:rsid w:val="007421DC"/>
    <w:rsid w:val="007453AD"/>
    <w:rsid w:val="0074550B"/>
    <w:rsid w:val="00745BC3"/>
    <w:rsid w:val="00745D31"/>
    <w:rsid w:val="00747E46"/>
    <w:rsid w:val="00750491"/>
    <w:rsid w:val="00750AB4"/>
    <w:rsid w:val="00753109"/>
    <w:rsid w:val="007552E1"/>
    <w:rsid w:val="00755AAB"/>
    <w:rsid w:val="00760DEB"/>
    <w:rsid w:val="00762800"/>
    <w:rsid w:val="00764D51"/>
    <w:rsid w:val="007701A4"/>
    <w:rsid w:val="00770B3E"/>
    <w:rsid w:val="0077159E"/>
    <w:rsid w:val="00772D89"/>
    <w:rsid w:val="007842BD"/>
    <w:rsid w:val="00785266"/>
    <w:rsid w:val="0078613F"/>
    <w:rsid w:val="00786349"/>
    <w:rsid w:val="007865CD"/>
    <w:rsid w:val="00790789"/>
    <w:rsid w:val="0079135D"/>
    <w:rsid w:val="00791F88"/>
    <w:rsid w:val="007933E3"/>
    <w:rsid w:val="0079468B"/>
    <w:rsid w:val="00794B7C"/>
    <w:rsid w:val="007956BB"/>
    <w:rsid w:val="0079665A"/>
    <w:rsid w:val="007979EA"/>
    <w:rsid w:val="007A07B2"/>
    <w:rsid w:val="007A15E5"/>
    <w:rsid w:val="007A4E40"/>
    <w:rsid w:val="007A4FEE"/>
    <w:rsid w:val="007A6DBA"/>
    <w:rsid w:val="007A6E87"/>
    <w:rsid w:val="007A7923"/>
    <w:rsid w:val="007B14C6"/>
    <w:rsid w:val="007B1A5C"/>
    <w:rsid w:val="007B25E1"/>
    <w:rsid w:val="007B31B2"/>
    <w:rsid w:val="007B37C5"/>
    <w:rsid w:val="007B3F40"/>
    <w:rsid w:val="007B4B0B"/>
    <w:rsid w:val="007C04B4"/>
    <w:rsid w:val="007C2C79"/>
    <w:rsid w:val="007C33B9"/>
    <w:rsid w:val="007C3438"/>
    <w:rsid w:val="007C4DB6"/>
    <w:rsid w:val="007C5167"/>
    <w:rsid w:val="007C535A"/>
    <w:rsid w:val="007C5DB4"/>
    <w:rsid w:val="007C5F0B"/>
    <w:rsid w:val="007C6965"/>
    <w:rsid w:val="007D0988"/>
    <w:rsid w:val="007D112B"/>
    <w:rsid w:val="007D42C8"/>
    <w:rsid w:val="007D5C1E"/>
    <w:rsid w:val="007D6D60"/>
    <w:rsid w:val="007D71F1"/>
    <w:rsid w:val="007E1396"/>
    <w:rsid w:val="007E4F1E"/>
    <w:rsid w:val="007E53F5"/>
    <w:rsid w:val="007F081A"/>
    <w:rsid w:val="007F09B2"/>
    <w:rsid w:val="007F0A6F"/>
    <w:rsid w:val="007F27D3"/>
    <w:rsid w:val="007F3976"/>
    <w:rsid w:val="007F42BD"/>
    <w:rsid w:val="007F5960"/>
    <w:rsid w:val="007F6CD6"/>
    <w:rsid w:val="007F720E"/>
    <w:rsid w:val="00800FED"/>
    <w:rsid w:val="008033F5"/>
    <w:rsid w:val="00803BD6"/>
    <w:rsid w:val="00804450"/>
    <w:rsid w:val="00805128"/>
    <w:rsid w:val="008052A3"/>
    <w:rsid w:val="00805B58"/>
    <w:rsid w:val="00805EED"/>
    <w:rsid w:val="00807244"/>
    <w:rsid w:val="00807357"/>
    <w:rsid w:val="008078FB"/>
    <w:rsid w:val="008106F0"/>
    <w:rsid w:val="00810EB8"/>
    <w:rsid w:val="008123D7"/>
    <w:rsid w:val="0081323E"/>
    <w:rsid w:val="00815D69"/>
    <w:rsid w:val="0081610A"/>
    <w:rsid w:val="008172C7"/>
    <w:rsid w:val="00817A2F"/>
    <w:rsid w:val="008204C3"/>
    <w:rsid w:val="00820F90"/>
    <w:rsid w:val="0082199B"/>
    <w:rsid w:val="00826579"/>
    <w:rsid w:val="00827EDA"/>
    <w:rsid w:val="00827F22"/>
    <w:rsid w:val="0083070B"/>
    <w:rsid w:val="00830DEF"/>
    <w:rsid w:val="008352A7"/>
    <w:rsid w:val="00836089"/>
    <w:rsid w:val="00836779"/>
    <w:rsid w:val="00837B14"/>
    <w:rsid w:val="00842D13"/>
    <w:rsid w:val="00843A9E"/>
    <w:rsid w:val="0084453E"/>
    <w:rsid w:val="00844E2C"/>
    <w:rsid w:val="008452AF"/>
    <w:rsid w:val="008501A2"/>
    <w:rsid w:val="00851639"/>
    <w:rsid w:val="008516B8"/>
    <w:rsid w:val="00851D40"/>
    <w:rsid w:val="0085263E"/>
    <w:rsid w:val="00854659"/>
    <w:rsid w:val="00855612"/>
    <w:rsid w:val="008558BE"/>
    <w:rsid w:val="0086016C"/>
    <w:rsid w:val="00860421"/>
    <w:rsid w:val="0086159A"/>
    <w:rsid w:val="00861DB5"/>
    <w:rsid w:val="008621A5"/>
    <w:rsid w:val="0086268F"/>
    <w:rsid w:val="0086433E"/>
    <w:rsid w:val="00871520"/>
    <w:rsid w:val="00871D1F"/>
    <w:rsid w:val="00871E1C"/>
    <w:rsid w:val="00874796"/>
    <w:rsid w:val="0087642D"/>
    <w:rsid w:val="0087749F"/>
    <w:rsid w:val="00880DAF"/>
    <w:rsid w:val="008852C8"/>
    <w:rsid w:val="00890755"/>
    <w:rsid w:val="00891311"/>
    <w:rsid w:val="008922F6"/>
    <w:rsid w:val="0089307C"/>
    <w:rsid w:val="0089527C"/>
    <w:rsid w:val="00896953"/>
    <w:rsid w:val="00897170"/>
    <w:rsid w:val="008A0CF8"/>
    <w:rsid w:val="008A451A"/>
    <w:rsid w:val="008A4E70"/>
    <w:rsid w:val="008A6282"/>
    <w:rsid w:val="008A6A35"/>
    <w:rsid w:val="008B0916"/>
    <w:rsid w:val="008B0EF0"/>
    <w:rsid w:val="008B5261"/>
    <w:rsid w:val="008B539B"/>
    <w:rsid w:val="008B65DF"/>
    <w:rsid w:val="008B65EE"/>
    <w:rsid w:val="008B6D49"/>
    <w:rsid w:val="008C006C"/>
    <w:rsid w:val="008C0865"/>
    <w:rsid w:val="008C1D49"/>
    <w:rsid w:val="008C2DBC"/>
    <w:rsid w:val="008C3902"/>
    <w:rsid w:val="008C4722"/>
    <w:rsid w:val="008C5383"/>
    <w:rsid w:val="008C5D3C"/>
    <w:rsid w:val="008D1298"/>
    <w:rsid w:val="008D1847"/>
    <w:rsid w:val="008D1BB6"/>
    <w:rsid w:val="008D1BF3"/>
    <w:rsid w:val="008D35C4"/>
    <w:rsid w:val="008D37B9"/>
    <w:rsid w:val="008D4D59"/>
    <w:rsid w:val="008D6C3B"/>
    <w:rsid w:val="008E0015"/>
    <w:rsid w:val="008E2AA2"/>
    <w:rsid w:val="008E2AC3"/>
    <w:rsid w:val="008E512C"/>
    <w:rsid w:val="008E5E13"/>
    <w:rsid w:val="008E70D3"/>
    <w:rsid w:val="008F0B3F"/>
    <w:rsid w:val="008F1B07"/>
    <w:rsid w:val="008F1FD4"/>
    <w:rsid w:val="008F4350"/>
    <w:rsid w:val="008F4681"/>
    <w:rsid w:val="008F6525"/>
    <w:rsid w:val="00900B27"/>
    <w:rsid w:val="00901C82"/>
    <w:rsid w:val="00902F7B"/>
    <w:rsid w:val="0090402C"/>
    <w:rsid w:val="0090552F"/>
    <w:rsid w:val="00910727"/>
    <w:rsid w:val="009108E7"/>
    <w:rsid w:val="00916245"/>
    <w:rsid w:val="009204DB"/>
    <w:rsid w:val="00921DC2"/>
    <w:rsid w:val="00922655"/>
    <w:rsid w:val="009239FD"/>
    <w:rsid w:val="00924C22"/>
    <w:rsid w:val="00925F9C"/>
    <w:rsid w:val="00934D0D"/>
    <w:rsid w:val="00937AB0"/>
    <w:rsid w:val="009415E3"/>
    <w:rsid w:val="0094299D"/>
    <w:rsid w:val="00943C11"/>
    <w:rsid w:val="00944406"/>
    <w:rsid w:val="0094576A"/>
    <w:rsid w:val="00945FB4"/>
    <w:rsid w:val="00946FDD"/>
    <w:rsid w:val="00950936"/>
    <w:rsid w:val="00950A95"/>
    <w:rsid w:val="00951533"/>
    <w:rsid w:val="00953CF4"/>
    <w:rsid w:val="00955A96"/>
    <w:rsid w:val="009571A1"/>
    <w:rsid w:val="009601D8"/>
    <w:rsid w:val="009605DB"/>
    <w:rsid w:val="00962910"/>
    <w:rsid w:val="00963ADA"/>
    <w:rsid w:val="00964E74"/>
    <w:rsid w:val="009678F1"/>
    <w:rsid w:val="0097045C"/>
    <w:rsid w:val="00971B2F"/>
    <w:rsid w:val="00974C50"/>
    <w:rsid w:val="009756DC"/>
    <w:rsid w:val="00976FC5"/>
    <w:rsid w:val="00983AAA"/>
    <w:rsid w:val="0098428F"/>
    <w:rsid w:val="009842C3"/>
    <w:rsid w:val="00985EE3"/>
    <w:rsid w:val="00987E35"/>
    <w:rsid w:val="00987E6A"/>
    <w:rsid w:val="009923CB"/>
    <w:rsid w:val="0099332C"/>
    <w:rsid w:val="00993F21"/>
    <w:rsid w:val="009A1EE0"/>
    <w:rsid w:val="009A26D5"/>
    <w:rsid w:val="009A2766"/>
    <w:rsid w:val="009A3F96"/>
    <w:rsid w:val="009A4CF6"/>
    <w:rsid w:val="009A58DA"/>
    <w:rsid w:val="009A68EF"/>
    <w:rsid w:val="009B227B"/>
    <w:rsid w:val="009B2471"/>
    <w:rsid w:val="009B6731"/>
    <w:rsid w:val="009B68CB"/>
    <w:rsid w:val="009B694E"/>
    <w:rsid w:val="009C0C2C"/>
    <w:rsid w:val="009C0D3B"/>
    <w:rsid w:val="009C32CB"/>
    <w:rsid w:val="009C44DE"/>
    <w:rsid w:val="009C4BC3"/>
    <w:rsid w:val="009C5EA7"/>
    <w:rsid w:val="009C68C1"/>
    <w:rsid w:val="009C7C90"/>
    <w:rsid w:val="009D1AA9"/>
    <w:rsid w:val="009D20F7"/>
    <w:rsid w:val="009D4672"/>
    <w:rsid w:val="009D48ED"/>
    <w:rsid w:val="009D5E4B"/>
    <w:rsid w:val="009D6A73"/>
    <w:rsid w:val="009D77A1"/>
    <w:rsid w:val="009E16FD"/>
    <w:rsid w:val="009E4905"/>
    <w:rsid w:val="009E4BEC"/>
    <w:rsid w:val="009E6EB5"/>
    <w:rsid w:val="009F268A"/>
    <w:rsid w:val="009F3499"/>
    <w:rsid w:val="009F478F"/>
    <w:rsid w:val="009F6A45"/>
    <w:rsid w:val="009F7C32"/>
    <w:rsid w:val="00A00778"/>
    <w:rsid w:val="00A0181C"/>
    <w:rsid w:val="00A03235"/>
    <w:rsid w:val="00A101FE"/>
    <w:rsid w:val="00A12087"/>
    <w:rsid w:val="00A138FE"/>
    <w:rsid w:val="00A200B5"/>
    <w:rsid w:val="00A20151"/>
    <w:rsid w:val="00A237B5"/>
    <w:rsid w:val="00A3084D"/>
    <w:rsid w:val="00A30AD9"/>
    <w:rsid w:val="00A30B1C"/>
    <w:rsid w:val="00A3215E"/>
    <w:rsid w:val="00A33C71"/>
    <w:rsid w:val="00A34057"/>
    <w:rsid w:val="00A40C6B"/>
    <w:rsid w:val="00A412CB"/>
    <w:rsid w:val="00A42D60"/>
    <w:rsid w:val="00A432C4"/>
    <w:rsid w:val="00A44B85"/>
    <w:rsid w:val="00A46F4B"/>
    <w:rsid w:val="00A54C5E"/>
    <w:rsid w:val="00A60372"/>
    <w:rsid w:val="00A6058D"/>
    <w:rsid w:val="00A60B1A"/>
    <w:rsid w:val="00A6287A"/>
    <w:rsid w:val="00A63DD8"/>
    <w:rsid w:val="00A64E44"/>
    <w:rsid w:val="00A65E22"/>
    <w:rsid w:val="00A65F12"/>
    <w:rsid w:val="00A6728B"/>
    <w:rsid w:val="00A701A7"/>
    <w:rsid w:val="00A707F8"/>
    <w:rsid w:val="00A77ACF"/>
    <w:rsid w:val="00A77F1B"/>
    <w:rsid w:val="00A80345"/>
    <w:rsid w:val="00A81889"/>
    <w:rsid w:val="00A8222D"/>
    <w:rsid w:val="00A85E8B"/>
    <w:rsid w:val="00A863A9"/>
    <w:rsid w:val="00A8684A"/>
    <w:rsid w:val="00A86ABA"/>
    <w:rsid w:val="00A8727E"/>
    <w:rsid w:val="00A908CB"/>
    <w:rsid w:val="00A90C79"/>
    <w:rsid w:val="00A922FE"/>
    <w:rsid w:val="00A93EA6"/>
    <w:rsid w:val="00A94DCF"/>
    <w:rsid w:val="00A94F46"/>
    <w:rsid w:val="00A95345"/>
    <w:rsid w:val="00A97239"/>
    <w:rsid w:val="00A97A48"/>
    <w:rsid w:val="00AA2261"/>
    <w:rsid w:val="00AA5657"/>
    <w:rsid w:val="00AA6175"/>
    <w:rsid w:val="00AA6F66"/>
    <w:rsid w:val="00AB1DA5"/>
    <w:rsid w:val="00AB4B59"/>
    <w:rsid w:val="00AB4BE4"/>
    <w:rsid w:val="00AC4081"/>
    <w:rsid w:val="00AC4588"/>
    <w:rsid w:val="00AC6FFB"/>
    <w:rsid w:val="00AC7C7A"/>
    <w:rsid w:val="00AD0092"/>
    <w:rsid w:val="00AD18D6"/>
    <w:rsid w:val="00AD2D30"/>
    <w:rsid w:val="00AD533E"/>
    <w:rsid w:val="00AD648E"/>
    <w:rsid w:val="00AD7300"/>
    <w:rsid w:val="00AE01F4"/>
    <w:rsid w:val="00AE2818"/>
    <w:rsid w:val="00AE363D"/>
    <w:rsid w:val="00AE3E92"/>
    <w:rsid w:val="00AE635D"/>
    <w:rsid w:val="00AE7E75"/>
    <w:rsid w:val="00AF159D"/>
    <w:rsid w:val="00AF39D4"/>
    <w:rsid w:val="00B10062"/>
    <w:rsid w:val="00B10FC9"/>
    <w:rsid w:val="00B13584"/>
    <w:rsid w:val="00B13DC3"/>
    <w:rsid w:val="00B14485"/>
    <w:rsid w:val="00B15E40"/>
    <w:rsid w:val="00B1673D"/>
    <w:rsid w:val="00B1773D"/>
    <w:rsid w:val="00B245C3"/>
    <w:rsid w:val="00B2717C"/>
    <w:rsid w:val="00B27E7E"/>
    <w:rsid w:val="00B3063F"/>
    <w:rsid w:val="00B30B69"/>
    <w:rsid w:val="00B33AB6"/>
    <w:rsid w:val="00B33F5B"/>
    <w:rsid w:val="00B364A1"/>
    <w:rsid w:val="00B364F8"/>
    <w:rsid w:val="00B41AF6"/>
    <w:rsid w:val="00B431FA"/>
    <w:rsid w:val="00B43AAC"/>
    <w:rsid w:val="00B440C2"/>
    <w:rsid w:val="00B475B2"/>
    <w:rsid w:val="00B51417"/>
    <w:rsid w:val="00B51632"/>
    <w:rsid w:val="00B5296F"/>
    <w:rsid w:val="00B5448E"/>
    <w:rsid w:val="00B54801"/>
    <w:rsid w:val="00B54C18"/>
    <w:rsid w:val="00B55581"/>
    <w:rsid w:val="00B55D7B"/>
    <w:rsid w:val="00B56ADF"/>
    <w:rsid w:val="00B5786C"/>
    <w:rsid w:val="00B62A41"/>
    <w:rsid w:val="00B62EDB"/>
    <w:rsid w:val="00B63489"/>
    <w:rsid w:val="00B66F5D"/>
    <w:rsid w:val="00B708F1"/>
    <w:rsid w:val="00B717C9"/>
    <w:rsid w:val="00B72466"/>
    <w:rsid w:val="00B74812"/>
    <w:rsid w:val="00B76D05"/>
    <w:rsid w:val="00B77C01"/>
    <w:rsid w:val="00B80752"/>
    <w:rsid w:val="00B81365"/>
    <w:rsid w:val="00B81776"/>
    <w:rsid w:val="00B82435"/>
    <w:rsid w:val="00B82B2E"/>
    <w:rsid w:val="00B83D82"/>
    <w:rsid w:val="00B8460A"/>
    <w:rsid w:val="00B85DDA"/>
    <w:rsid w:val="00B87941"/>
    <w:rsid w:val="00B90820"/>
    <w:rsid w:val="00B9194B"/>
    <w:rsid w:val="00B92213"/>
    <w:rsid w:val="00B92FB6"/>
    <w:rsid w:val="00B9582C"/>
    <w:rsid w:val="00B95E08"/>
    <w:rsid w:val="00B96D71"/>
    <w:rsid w:val="00B97614"/>
    <w:rsid w:val="00BA02A4"/>
    <w:rsid w:val="00BA0ED5"/>
    <w:rsid w:val="00BA6BA1"/>
    <w:rsid w:val="00BA70A0"/>
    <w:rsid w:val="00BA7AA5"/>
    <w:rsid w:val="00BA7C6C"/>
    <w:rsid w:val="00BB0342"/>
    <w:rsid w:val="00BB121E"/>
    <w:rsid w:val="00BB2DCE"/>
    <w:rsid w:val="00BB2F9D"/>
    <w:rsid w:val="00BB330B"/>
    <w:rsid w:val="00BB3E1A"/>
    <w:rsid w:val="00BB564D"/>
    <w:rsid w:val="00BC3469"/>
    <w:rsid w:val="00BC3AD8"/>
    <w:rsid w:val="00BC45EA"/>
    <w:rsid w:val="00BC494E"/>
    <w:rsid w:val="00BC56B5"/>
    <w:rsid w:val="00BD0086"/>
    <w:rsid w:val="00BD0734"/>
    <w:rsid w:val="00BD0B64"/>
    <w:rsid w:val="00BD104D"/>
    <w:rsid w:val="00BD11D4"/>
    <w:rsid w:val="00BD1512"/>
    <w:rsid w:val="00BD1DB2"/>
    <w:rsid w:val="00BD35BC"/>
    <w:rsid w:val="00BD49E8"/>
    <w:rsid w:val="00BD6700"/>
    <w:rsid w:val="00BE2DE5"/>
    <w:rsid w:val="00BE3DEF"/>
    <w:rsid w:val="00BE4B6B"/>
    <w:rsid w:val="00BE630B"/>
    <w:rsid w:val="00BE6772"/>
    <w:rsid w:val="00BE69EA"/>
    <w:rsid w:val="00BE6BE6"/>
    <w:rsid w:val="00BE7844"/>
    <w:rsid w:val="00BE7B2D"/>
    <w:rsid w:val="00BE7E6E"/>
    <w:rsid w:val="00BF0553"/>
    <w:rsid w:val="00BF2EEA"/>
    <w:rsid w:val="00BF3C90"/>
    <w:rsid w:val="00BF53C1"/>
    <w:rsid w:val="00BF7221"/>
    <w:rsid w:val="00C02CD6"/>
    <w:rsid w:val="00C02FB2"/>
    <w:rsid w:val="00C07B57"/>
    <w:rsid w:val="00C07F0B"/>
    <w:rsid w:val="00C1527C"/>
    <w:rsid w:val="00C15673"/>
    <w:rsid w:val="00C15FF9"/>
    <w:rsid w:val="00C17484"/>
    <w:rsid w:val="00C17CCB"/>
    <w:rsid w:val="00C20BF3"/>
    <w:rsid w:val="00C221EC"/>
    <w:rsid w:val="00C23114"/>
    <w:rsid w:val="00C25402"/>
    <w:rsid w:val="00C266CC"/>
    <w:rsid w:val="00C27E10"/>
    <w:rsid w:val="00C30629"/>
    <w:rsid w:val="00C30EFC"/>
    <w:rsid w:val="00C335EF"/>
    <w:rsid w:val="00C34410"/>
    <w:rsid w:val="00C351AE"/>
    <w:rsid w:val="00C36C0F"/>
    <w:rsid w:val="00C404CF"/>
    <w:rsid w:val="00C40BF3"/>
    <w:rsid w:val="00C40CE7"/>
    <w:rsid w:val="00C41632"/>
    <w:rsid w:val="00C46EE6"/>
    <w:rsid w:val="00C500DF"/>
    <w:rsid w:val="00C527B6"/>
    <w:rsid w:val="00C52A93"/>
    <w:rsid w:val="00C52FFE"/>
    <w:rsid w:val="00C53506"/>
    <w:rsid w:val="00C53F2C"/>
    <w:rsid w:val="00C545B5"/>
    <w:rsid w:val="00C56B1C"/>
    <w:rsid w:val="00C57EA9"/>
    <w:rsid w:val="00C65143"/>
    <w:rsid w:val="00C65311"/>
    <w:rsid w:val="00C74B6A"/>
    <w:rsid w:val="00C75C9D"/>
    <w:rsid w:val="00C80870"/>
    <w:rsid w:val="00C80E77"/>
    <w:rsid w:val="00C81588"/>
    <w:rsid w:val="00C8375E"/>
    <w:rsid w:val="00C856C4"/>
    <w:rsid w:val="00C872A0"/>
    <w:rsid w:val="00C910DE"/>
    <w:rsid w:val="00C92B73"/>
    <w:rsid w:val="00C933AB"/>
    <w:rsid w:val="00C93DC5"/>
    <w:rsid w:val="00C95B6B"/>
    <w:rsid w:val="00C97776"/>
    <w:rsid w:val="00CA01E8"/>
    <w:rsid w:val="00CA2071"/>
    <w:rsid w:val="00CA2816"/>
    <w:rsid w:val="00CA7C19"/>
    <w:rsid w:val="00CB11EF"/>
    <w:rsid w:val="00CB3B30"/>
    <w:rsid w:val="00CB4164"/>
    <w:rsid w:val="00CB4469"/>
    <w:rsid w:val="00CB5AB7"/>
    <w:rsid w:val="00CB5C23"/>
    <w:rsid w:val="00CB5D6F"/>
    <w:rsid w:val="00CB5F11"/>
    <w:rsid w:val="00CB7894"/>
    <w:rsid w:val="00CB7D9D"/>
    <w:rsid w:val="00CC0E98"/>
    <w:rsid w:val="00CC166F"/>
    <w:rsid w:val="00CC1AD4"/>
    <w:rsid w:val="00CC27EE"/>
    <w:rsid w:val="00CC3446"/>
    <w:rsid w:val="00CD11C5"/>
    <w:rsid w:val="00CD20C6"/>
    <w:rsid w:val="00CD2279"/>
    <w:rsid w:val="00CD296C"/>
    <w:rsid w:val="00CD3685"/>
    <w:rsid w:val="00CD399A"/>
    <w:rsid w:val="00CD43D5"/>
    <w:rsid w:val="00CD475E"/>
    <w:rsid w:val="00CD4DB9"/>
    <w:rsid w:val="00CD5820"/>
    <w:rsid w:val="00CD71EC"/>
    <w:rsid w:val="00CD7D69"/>
    <w:rsid w:val="00CE0BDD"/>
    <w:rsid w:val="00CE16F7"/>
    <w:rsid w:val="00CE5918"/>
    <w:rsid w:val="00CE6375"/>
    <w:rsid w:val="00CE6A6E"/>
    <w:rsid w:val="00CF004D"/>
    <w:rsid w:val="00CF16B1"/>
    <w:rsid w:val="00CF24EE"/>
    <w:rsid w:val="00CF6908"/>
    <w:rsid w:val="00D0029F"/>
    <w:rsid w:val="00D01E40"/>
    <w:rsid w:val="00D02A38"/>
    <w:rsid w:val="00D03BB3"/>
    <w:rsid w:val="00D03E38"/>
    <w:rsid w:val="00D03F80"/>
    <w:rsid w:val="00D045AE"/>
    <w:rsid w:val="00D05518"/>
    <w:rsid w:val="00D055E1"/>
    <w:rsid w:val="00D116A3"/>
    <w:rsid w:val="00D138D0"/>
    <w:rsid w:val="00D139C5"/>
    <w:rsid w:val="00D1471C"/>
    <w:rsid w:val="00D1493F"/>
    <w:rsid w:val="00D15F14"/>
    <w:rsid w:val="00D17AFE"/>
    <w:rsid w:val="00D30D2C"/>
    <w:rsid w:val="00D30E07"/>
    <w:rsid w:val="00D33351"/>
    <w:rsid w:val="00D3470A"/>
    <w:rsid w:val="00D36377"/>
    <w:rsid w:val="00D40226"/>
    <w:rsid w:val="00D40430"/>
    <w:rsid w:val="00D41050"/>
    <w:rsid w:val="00D46709"/>
    <w:rsid w:val="00D472C5"/>
    <w:rsid w:val="00D4781E"/>
    <w:rsid w:val="00D50B3E"/>
    <w:rsid w:val="00D514E6"/>
    <w:rsid w:val="00D536EB"/>
    <w:rsid w:val="00D61954"/>
    <w:rsid w:val="00D63947"/>
    <w:rsid w:val="00D6408F"/>
    <w:rsid w:val="00D6425B"/>
    <w:rsid w:val="00D66434"/>
    <w:rsid w:val="00D66480"/>
    <w:rsid w:val="00D6740C"/>
    <w:rsid w:val="00D67B8D"/>
    <w:rsid w:val="00D7137F"/>
    <w:rsid w:val="00D770D2"/>
    <w:rsid w:val="00D811A4"/>
    <w:rsid w:val="00D83B73"/>
    <w:rsid w:val="00D842FA"/>
    <w:rsid w:val="00D853C5"/>
    <w:rsid w:val="00D85A37"/>
    <w:rsid w:val="00D8632F"/>
    <w:rsid w:val="00D86795"/>
    <w:rsid w:val="00D874A6"/>
    <w:rsid w:val="00D91538"/>
    <w:rsid w:val="00D934ED"/>
    <w:rsid w:val="00D94A4D"/>
    <w:rsid w:val="00D96829"/>
    <w:rsid w:val="00DA0465"/>
    <w:rsid w:val="00DA1536"/>
    <w:rsid w:val="00DA2FD9"/>
    <w:rsid w:val="00DB0832"/>
    <w:rsid w:val="00DB2016"/>
    <w:rsid w:val="00DB371D"/>
    <w:rsid w:val="00DB3EB6"/>
    <w:rsid w:val="00DB65CF"/>
    <w:rsid w:val="00DC06DE"/>
    <w:rsid w:val="00DC0DFF"/>
    <w:rsid w:val="00DC0FB4"/>
    <w:rsid w:val="00DC247B"/>
    <w:rsid w:val="00DC3B2A"/>
    <w:rsid w:val="00DC6F5D"/>
    <w:rsid w:val="00DD07F2"/>
    <w:rsid w:val="00DD2312"/>
    <w:rsid w:val="00DD50BC"/>
    <w:rsid w:val="00DD5BB7"/>
    <w:rsid w:val="00DD5EE6"/>
    <w:rsid w:val="00DE13BE"/>
    <w:rsid w:val="00DE1541"/>
    <w:rsid w:val="00DE1B1F"/>
    <w:rsid w:val="00DE4799"/>
    <w:rsid w:val="00DE4F91"/>
    <w:rsid w:val="00DE54E5"/>
    <w:rsid w:val="00DE6CC5"/>
    <w:rsid w:val="00DE6DEC"/>
    <w:rsid w:val="00DE7A34"/>
    <w:rsid w:val="00DF01D8"/>
    <w:rsid w:val="00DF0503"/>
    <w:rsid w:val="00DF17AE"/>
    <w:rsid w:val="00DF275F"/>
    <w:rsid w:val="00DF60CA"/>
    <w:rsid w:val="00DF70C0"/>
    <w:rsid w:val="00DF7A5A"/>
    <w:rsid w:val="00DF7C5A"/>
    <w:rsid w:val="00E002CE"/>
    <w:rsid w:val="00E0088D"/>
    <w:rsid w:val="00E03462"/>
    <w:rsid w:val="00E057FC"/>
    <w:rsid w:val="00E05F2D"/>
    <w:rsid w:val="00E07629"/>
    <w:rsid w:val="00E07E5A"/>
    <w:rsid w:val="00E1225B"/>
    <w:rsid w:val="00E125B7"/>
    <w:rsid w:val="00E15320"/>
    <w:rsid w:val="00E155D1"/>
    <w:rsid w:val="00E15FCB"/>
    <w:rsid w:val="00E16AC7"/>
    <w:rsid w:val="00E17473"/>
    <w:rsid w:val="00E17EE8"/>
    <w:rsid w:val="00E20446"/>
    <w:rsid w:val="00E218CD"/>
    <w:rsid w:val="00E24358"/>
    <w:rsid w:val="00E24451"/>
    <w:rsid w:val="00E24AB4"/>
    <w:rsid w:val="00E26161"/>
    <w:rsid w:val="00E27BEF"/>
    <w:rsid w:val="00E315F5"/>
    <w:rsid w:val="00E32A32"/>
    <w:rsid w:val="00E33F8B"/>
    <w:rsid w:val="00E33FB7"/>
    <w:rsid w:val="00E344DE"/>
    <w:rsid w:val="00E36439"/>
    <w:rsid w:val="00E37B9B"/>
    <w:rsid w:val="00E410E5"/>
    <w:rsid w:val="00E42818"/>
    <w:rsid w:val="00E42B8B"/>
    <w:rsid w:val="00E44CC4"/>
    <w:rsid w:val="00E5334B"/>
    <w:rsid w:val="00E542D1"/>
    <w:rsid w:val="00E54330"/>
    <w:rsid w:val="00E54EA9"/>
    <w:rsid w:val="00E55265"/>
    <w:rsid w:val="00E56C78"/>
    <w:rsid w:val="00E5740B"/>
    <w:rsid w:val="00E578D3"/>
    <w:rsid w:val="00E5791D"/>
    <w:rsid w:val="00E62C35"/>
    <w:rsid w:val="00E63BCE"/>
    <w:rsid w:val="00E663C7"/>
    <w:rsid w:val="00E674C0"/>
    <w:rsid w:val="00E70705"/>
    <w:rsid w:val="00E71A0E"/>
    <w:rsid w:val="00E74314"/>
    <w:rsid w:val="00E752A2"/>
    <w:rsid w:val="00E75701"/>
    <w:rsid w:val="00E75FFC"/>
    <w:rsid w:val="00E76250"/>
    <w:rsid w:val="00E80037"/>
    <w:rsid w:val="00E8048D"/>
    <w:rsid w:val="00E8132B"/>
    <w:rsid w:val="00E82793"/>
    <w:rsid w:val="00E903CA"/>
    <w:rsid w:val="00E90D60"/>
    <w:rsid w:val="00E9179C"/>
    <w:rsid w:val="00E91FC4"/>
    <w:rsid w:val="00E92314"/>
    <w:rsid w:val="00E94893"/>
    <w:rsid w:val="00E94D10"/>
    <w:rsid w:val="00E94EAC"/>
    <w:rsid w:val="00E974C6"/>
    <w:rsid w:val="00EA0D97"/>
    <w:rsid w:val="00EA211D"/>
    <w:rsid w:val="00EA33A8"/>
    <w:rsid w:val="00EA394C"/>
    <w:rsid w:val="00EA69C8"/>
    <w:rsid w:val="00EA72FC"/>
    <w:rsid w:val="00EB3196"/>
    <w:rsid w:val="00EB3BDD"/>
    <w:rsid w:val="00EB5FFB"/>
    <w:rsid w:val="00EB6891"/>
    <w:rsid w:val="00EB7C11"/>
    <w:rsid w:val="00EC0216"/>
    <w:rsid w:val="00EC15DC"/>
    <w:rsid w:val="00EC16DF"/>
    <w:rsid w:val="00EC50D8"/>
    <w:rsid w:val="00EC6E77"/>
    <w:rsid w:val="00ED0645"/>
    <w:rsid w:val="00ED3622"/>
    <w:rsid w:val="00ED6F20"/>
    <w:rsid w:val="00EE149A"/>
    <w:rsid w:val="00EE2EC2"/>
    <w:rsid w:val="00EE3EC6"/>
    <w:rsid w:val="00EE3FAE"/>
    <w:rsid w:val="00EE654D"/>
    <w:rsid w:val="00EE7214"/>
    <w:rsid w:val="00EF00F6"/>
    <w:rsid w:val="00EF1246"/>
    <w:rsid w:val="00EF124E"/>
    <w:rsid w:val="00EF2B59"/>
    <w:rsid w:val="00EF333F"/>
    <w:rsid w:val="00EF3354"/>
    <w:rsid w:val="00EF3BAD"/>
    <w:rsid w:val="00EF508C"/>
    <w:rsid w:val="00F02407"/>
    <w:rsid w:val="00F0253B"/>
    <w:rsid w:val="00F042BD"/>
    <w:rsid w:val="00F04D22"/>
    <w:rsid w:val="00F05E35"/>
    <w:rsid w:val="00F06C3F"/>
    <w:rsid w:val="00F06F5C"/>
    <w:rsid w:val="00F1141A"/>
    <w:rsid w:val="00F11747"/>
    <w:rsid w:val="00F140B3"/>
    <w:rsid w:val="00F14B07"/>
    <w:rsid w:val="00F16106"/>
    <w:rsid w:val="00F16DCB"/>
    <w:rsid w:val="00F2032C"/>
    <w:rsid w:val="00F21AC5"/>
    <w:rsid w:val="00F235E6"/>
    <w:rsid w:val="00F23F42"/>
    <w:rsid w:val="00F24FA7"/>
    <w:rsid w:val="00F261A0"/>
    <w:rsid w:val="00F266B6"/>
    <w:rsid w:val="00F268AF"/>
    <w:rsid w:val="00F300D9"/>
    <w:rsid w:val="00F3012A"/>
    <w:rsid w:val="00F311A7"/>
    <w:rsid w:val="00F31EEE"/>
    <w:rsid w:val="00F32ED9"/>
    <w:rsid w:val="00F330BC"/>
    <w:rsid w:val="00F33838"/>
    <w:rsid w:val="00F344DC"/>
    <w:rsid w:val="00F3608E"/>
    <w:rsid w:val="00F43FF1"/>
    <w:rsid w:val="00F51066"/>
    <w:rsid w:val="00F55078"/>
    <w:rsid w:val="00F60FA5"/>
    <w:rsid w:val="00F621DA"/>
    <w:rsid w:val="00F62FAF"/>
    <w:rsid w:val="00F65DF3"/>
    <w:rsid w:val="00F677C1"/>
    <w:rsid w:val="00F67B10"/>
    <w:rsid w:val="00F703F9"/>
    <w:rsid w:val="00F70E4B"/>
    <w:rsid w:val="00F71497"/>
    <w:rsid w:val="00F73AD6"/>
    <w:rsid w:val="00F73B44"/>
    <w:rsid w:val="00F74073"/>
    <w:rsid w:val="00F74BC1"/>
    <w:rsid w:val="00F775E8"/>
    <w:rsid w:val="00F779C1"/>
    <w:rsid w:val="00F81723"/>
    <w:rsid w:val="00F81AF6"/>
    <w:rsid w:val="00F81E09"/>
    <w:rsid w:val="00F82564"/>
    <w:rsid w:val="00F82A24"/>
    <w:rsid w:val="00F82B2C"/>
    <w:rsid w:val="00F83641"/>
    <w:rsid w:val="00F846EC"/>
    <w:rsid w:val="00F8488A"/>
    <w:rsid w:val="00F85A8F"/>
    <w:rsid w:val="00F85AD2"/>
    <w:rsid w:val="00F90B8B"/>
    <w:rsid w:val="00F93657"/>
    <w:rsid w:val="00F94F4C"/>
    <w:rsid w:val="00F95F0B"/>
    <w:rsid w:val="00F95F6C"/>
    <w:rsid w:val="00F9622B"/>
    <w:rsid w:val="00F96665"/>
    <w:rsid w:val="00F9749E"/>
    <w:rsid w:val="00FA058E"/>
    <w:rsid w:val="00FA2BD4"/>
    <w:rsid w:val="00FA37DD"/>
    <w:rsid w:val="00FA4CD1"/>
    <w:rsid w:val="00FA6229"/>
    <w:rsid w:val="00FA6C2B"/>
    <w:rsid w:val="00FA7F9D"/>
    <w:rsid w:val="00FB1003"/>
    <w:rsid w:val="00FB4EA4"/>
    <w:rsid w:val="00FB65CB"/>
    <w:rsid w:val="00FC1743"/>
    <w:rsid w:val="00FC34C0"/>
    <w:rsid w:val="00FC5089"/>
    <w:rsid w:val="00FC592C"/>
    <w:rsid w:val="00FC76A0"/>
    <w:rsid w:val="00FD1E1A"/>
    <w:rsid w:val="00FD2B74"/>
    <w:rsid w:val="00FD35CB"/>
    <w:rsid w:val="00FD37FB"/>
    <w:rsid w:val="00FD396A"/>
    <w:rsid w:val="00FD4D5E"/>
    <w:rsid w:val="00FD54B8"/>
    <w:rsid w:val="00FD62B2"/>
    <w:rsid w:val="00FE000A"/>
    <w:rsid w:val="00FE0CB3"/>
    <w:rsid w:val="00FE352D"/>
    <w:rsid w:val="00FE39D9"/>
    <w:rsid w:val="00FE3C09"/>
    <w:rsid w:val="00FE3F99"/>
    <w:rsid w:val="00FE4D77"/>
    <w:rsid w:val="00FE56E6"/>
    <w:rsid w:val="00FF11C4"/>
    <w:rsid w:val="00FF39C8"/>
    <w:rsid w:val="00FF48B0"/>
    <w:rsid w:val="00FF6E4A"/>
    <w:rsid w:val="00FF72A8"/>
    <w:rsid w:val="00FF7932"/>
    <w:rsid w:val="0EF48C3E"/>
    <w:rsid w:val="0FA48732"/>
    <w:rsid w:val="142391D6"/>
    <w:rsid w:val="198F3177"/>
    <w:rsid w:val="224A3E50"/>
    <w:rsid w:val="339B0C13"/>
    <w:rsid w:val="3F5FD497"/>
    <w:rsid w:val="58D95680"/>
    <w:rsid w:val="702AD312"/>
    <w:rsid w:val="77948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0ACA0"/>
  <w15:docId w15:val="{357D1BB5-2169-48F0-B255-93D779F2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next w:val="BodyText"/>
    <w:qFormat/>
    <w:rsid w:val="00D96829"/>
    <w:pPr>
      <w:spacing w:after="120"/>
      <w:jc w:val="both"/>
    </w:pPr>
    <w:rPr>
      <w:rFonts w:ascii="Arial" w:hAnsi="Arial"/>
      <w:sz w:val="22"/>
      <w:szCs w:val="24"/>
    </w:rPr>
  </w:style>
  <w:style w:type="paragraph" w:styleId="Heading1">
    <w:name w:val="heading 1"/>
    <w:basedOn w:val="Normal"/>
    <w:next w:val="Heading2"/>
    <w:link w:val="Heading1Char"/>
    <w:qFormat/>
    <w:rsid w:val="00F95F6C"/>
    <w:pPr>
      <w:keepNext/>
      <w:widowControl w:val="0"/>
      <w:numPr>
        <w:numId w:val="6"/>
      </w:numPr>
      <w:spacing w:before="240" w:after="240"/>
      <w:outlineLvl w:val="0"/>
    </w:pPr>
    <w:rPr>
      <w:rFonts w:ascii="Arial Narrow" w:hAnsi="Arial Narrow"/>
      <w:b/>
      <w:snapToGrid w:val="0"/>
      <w:sz w:val="36"/>
      <w:szCs w:val="20"/>
      <w:lang w:eastAsia="en-US"/>
    </w:rPr>
  </w:style>
  <w:style w:type="paragraph" w:styleId="Heading2">
    <w:name w:val="heading 2"/>
    <w:basedOn w:val="Heading1"/>
    <w:next w:val="Heading3"/>
    <w:link w:val="Heading2Char"/>
    <w:unhideWhenUsed/>
    <w:qFormat/>
    <w:rsid w:val="00422F8C"/>
    <w:pPr>
      <w:numPr>
        <w:ilvl w:val="1"/>
        <w:numId w:val="5"/>
      </w:numPr>
      <w:outlineLvl w:val="1"/>
    </w:pPr>
    <w:rPr>
      <w:rFonts w:ascii="Arial" w:hAnsi="Arial"/>
      <w:bCs/>
      <w:iCs/>
      <w:sz w:val="28"/>
      <w:szCs w:val="28"/>
    </w:rPr>
  </w:style>
  <w:style w:type="paragraph" w:styleId="Heading3">
    <w:name w:val="heading 3"/>
    <w:basedOn w:val="NormalWeb"/>
    <w:next w:val="Normal"/>
    <w:link w:val="Heading3Char"/>
    <w:autoRedefine/>
    <w:unhideWhenUsed/>
    <w:qFormat/>
    <w:rsid w:val="00F1141A"/>
    <w:pPr>
      <w:numPr>
        <w:ilvl w:val="2"/>
        <w:numId w:val="5"/>
      </w:numPr>
      <w:spacing w:before="240" w:beforeAutospacing="0" w:after="120" w:afterAutospacing="0"/>
      <w:outlineLvl w:val="2"/>
    </w:pPr>
    <w:rPr>
      <w:b/>
      <w:snapToGrid w:val="0"/>
      <w:w w:val="0"/>
      <w:sz w:val="28"/>
      <w:szCs w:val="28"/>
      <w:lang w:eastAsia="en-US"/>
    </w:rPr>
  </w:style>
  <w:style w:type="paragraph" w:styleId="Heading4">
    <w:name w:val="heading 4"/>
    <w:basedOn w:val="Normal"/>
    <w:next w:val="Normal"/>
    <w:link w:val="Heading4Char"/>
    <w:autoRedefine/>
    <w:uiPriority w:val="9"/>
    <w:unhideWhenUsed/>
    <w:qFormat/>
    <w:rsid w:val="0007552F"/>
    <w:pPr>
      <w:keepNext/>
      <w:keepLines/>
      <w:numPr>
        <w:ilvl w:val="3"/>
        <w:numId w:val="5"/>
      </w:numPr>
      <w:spacing w:before="120"/>
      <w:outlineLvl w:val="3"/>
    </w:pPr>
    <w:rPr>
      <w:rFonts w:ascii="Arial Narrow" w:eastAsiaTheme="majorEastAsia" w:hAnsi="Arial Narrow" w:cstheme="majorBidi"/>
      <w:b/>
      <w:bCs/>
      <w:iCs/>
      <w:color w:val="000000" w:themeColor="text1"/>
      <w:sz w:val="28"/>
    </w:rPr>
  </w:style>
  <w:style w:type="paragraph" w:styleId="Heading5">
    <w:name w:val="heading 5"/>
    <w:basedOn w:val="Normal"/>
    <w:next w:val="Normal"/>
    <w:link w:val="Heading5Char"/>
    <w:unhideWhenUsed/>
    <w:qFormat/>
    <w:rsid w:val="00D139C5"/>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139C5"/>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139C5"/>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139C5"/>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139C5"/>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666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F96665"/>
    <w:rPr>
      <w:color w:val="0000FF"/>
      <w:u w:val="single"/>
    </w:rPr>
  </w:style>
  <w:style w:type="table" w:styleId="TableGrid">
    <w:name w:val="Table Grid"/>
    <w:basedOn w:val="TableNormal"/>
    <w:uiPriority w:val="39"/>
    <w:rsid w:val="00C65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Under Heading 1"/>
    <w:basedOn w:val="Normal"/>
    <w:link w:val="BodyTextChar"/>
    <w:qFormat/>
    <w:rsid w:val="005401A5"/>
    <w:rPr>
      <w:lang w:eastAsia="en-US"/>
    </w:rPr>
  </w:style>
  <w:style w:type="paragraph" w:customStyle="1" w:styleId="body">
    <w:name w:val="body"/>
    <w:basedOn w:val="Normal"/>
    <w:rsid w:val="00BE6772"/>
    <w:pPr>
      <w:spacing w:after="240"/>
    </w:pPr>
    <w:rPr>
      <w:rFonts w:cs="Arial"/>
      <w:sz w:val="20"/>
      <w:lang w:eastAsia="en-US"/>
    </w:rPr>
  </w:style>
  <w:style w:type="paragraph" w:customStyle="1" w:styleId="bullet">
    <w:name w:val="bullet"/>
    <w:basedOn w:val="body"/>
    <w:rsid w:val="00BE6772"/>
    <w:pPr>
      <w:numPr>
        <w:numId w:val="1"/>
      </w:numPr>
      <w:tabs>
        <w:tab w:val="clear" w:pos="1080"/>
        <w:tab w:val="num" w:pos="720"/>
      </w:tabs>
      <w:spacing w:after="60"/>
      <w:ind w:left="720" w:hanging="360"/>
    </w:pPr>
  </w:style>
  <w:style w:type="paragraph" w:styleId="Header">
    <w:name w:val="header"/>
    <w:basedOn w:val="Normal"/>
    <w:rsid w:val="00B27E7E"/>
    <w:pPr>
      <w:tabs>
        <w:tab w:val="center" w:pos="4153"/>
        <w:tab w:val="right" w:pos="8306"/>
      </w:tabs>
    </w:pPr>
  </w:style>
  <w:style w:type="paragraph" w:styleId="Footer">
    <w:name w:val="footer"/>
    <w:basedOn w:val="BodyText3"/>
    <w:link w:val="FooterChar"/>
    <w:uiPriority w:val="99"/>
    <w:rsid w:val="00B27E7E"/>
    <w:pPr>
      <w:tabs>
        <w:tab w:val="center" w:pos="4153"/>
        <w:tab w:val="right" w:pos="8306"/>
      </w:tabs>
    </w:pPr>
  </w:style>
  <w:style w:type="paragraph" w:styleId="NormalWeb">
    <w:name w:val="Normal (Web)"/>
    <w:basedOn w:val="Normal"/>
    <w:uiPriority w:val="99"/>
    <w:rsid w:val="00F779C1"/>
    <w:pPr>
      <w:spacing w:before="100" w:beforeAutospacing="1" w:after="100" w:afterAutospacing="1"/>
    </w:pPr>
    <w:rPr>
      <w:color w:val="000000"/>
    </w:rPr>
  </w:style>
  <w:style w:type="character" w:customStyle="1" w:styleId="MessageHeaderLabel">
    <w:name w:val="Message Header Label"/>
    <w:rsid w:val="00F779C1"/>
    <w:rPr>
      <w:rFonts w:ascii="Arial" w:hAnsi="Arial"/>
      <w:b/>
      <w:spacing w:val="-4"/>
      <w:sz w:val="18"/>
      <w:vertAlign w:val="baseline"/>
    </w:rPr>
  </w:style>
  <w:style w:type="paragraph" w:styleId="BalloonText">
    <w:name w:val="Balloon Text"/>
    <w:basedOn w:val="Normal"/>
    <w:semiHidden/>
    <w:rsid w:val="00DF7A5A"/>
    <w:rPr>
      <w:rFonts w:ascii="Tahoma" w:hAnsi="Tahoma" w:cs="Tahoma"/>
      <w:sz w:val="16"/>
      <w:szCs w:val="16"/>
    </w:rPr>
  </w:style>
  <w:style w:type="character" w:styleId="PageNumber">
    <w:name w:val="page number"/>
    <w:basedOn w:val="DefaultParagraphFont"/>
    <w:rsid w:val="00897170"/>
  </w:style>
  <w:style w:type="paragraph" w:customStyle="1" w:styleId="TableBody">
    <w:name w:val="Table Body"/>
    <w:basedOn w:val="Normal"/>
    <w:rsid w:val="006625C3"/>
    <w:pPr>
      <w:tabs>
        <w:tab w:val="left" w:pos="-3402"/>
      </w:tabs>
      <w:spacing w:before="40" w:after="40"/>
      <w:jc w:val="left"/>
    </w:pPr>
    <w:rPr>
      <w:rFonts w:ascii="Verdana" w:eastAsiaTheme="minorHAnsi" w:hAnsi="Verdana" w:cstheme="minorBidi"/>
      <w:sz w:val="20"/>
      <w:lang w:eastAsia="en-US"/>
    </w:rPr>
  </w:style>
  <w:style w:type="character" w:styleId="CommentReference">
    <w:name w:val="annotation reference"/>
    <w:basedOn w:val="DefaultParagraphFont"/>
    <w:rsid w:val="00F90B8B"/>
    <w:rPr>
      <w:sz w:val="16"/>
      <w:szCs w:val="16"/>
    </w:rPr>
  </w:style>
  <w:style w:type="character" w:customStyle="1" w:styleId="Heading2Char">
    <w:name w:val="Heading 2 Char"/>
    <w:basedOn w:val="DefaultParagraphFont"/>
    <w:link w:val="Heading2"/>
    <w:rsid w:val="00422F8C"/>
    <w:rPr>
      <w:rFonts w:ascii="Arial" w:hAnsi="Arial"/>
      <w:b/>
      <w:bCs/>
      <w:iCs/>
      <w:snapToGrid w:val="0"/>
      <w:sz w:val="28"/>
      <w:szCs w:val="28"/>
      <w:lang w:eastAsia="en-US"/>
    </w:rPr>
  </w:style>
  <w:style w:type="paragraph" w:customStyle="1" w:styleId="Style1">
    <w:name w:val="Style1"/>
    <w:basedOn w:val="Heading2"/>
    <w:qFormat/>
    <w:rsid w:val="00C53506"/>
    <w:pPr>
      <w:spacing w:before="0" w:after="0"/>
    </w:pPr>
    <w:rPr>
      <w:rFonts w:cs="Arial"/>
      <w:b w:val="0"/>
      <w:u w:val="single"/>
    </w:rPr>
  </w:style>
  <w:style w:type="paragraph" w:styleId="CommentText">
    <w:name w:val="annotation text"/>
    <w:basedOn w:val="Normal"/>
    <w:link w:val="CommentTextChar"/>
    <w:rsid w:val="00F90B8B"/>
    <w:rPr>
      <w:sz w:val="20"/>
      <w:szCs w:val="20"/>
    </w:rPr>
  </w:style>
  <w:style w:type="character" w:customStyle="1" w:styleId="CommentTextChar">
    <w:name w:val="Comment Text Char"/>
    <w:basedOn w:val="DefaultParagraphFont"/>
    <w:link w:val="CommentText"/>
    <w:rsid w:val="00F90B8B"/>
    <w:rPr>
      <w:rFonts w:ascii="Arial" w:hAnsi="Arial"/>
    </w:rPr>
  </w:style>
  <w:style w:type="paragraph" w:styleId="CommentSubject">
    <w:name w:val="annotation subject"/>
    <w:basedOn w:val="CommentText"/>
    <w:next w:val="CommentText"/>
    <w:link w:val="CommentSubjectChar"/>
    <w:rsid w:val="00F90B8B"/>
    <w:rPr>
      <w:b/>
      <w:bCs/>
    </w:rPr>
  </w:style>
  <w:style w:type="character" w:customStyle="1" w:styleId="CommentSubjectChar">
    <w:name w:val="Comment Subject Char"/>
    <w:basedOn w:val="CommentTextChar"/>
    <w:link w:val="CommentSubject"/>
    <w:rsid w:val="00F90B8B"/>
    <w:rPr>
      <w:rFonts w:ascii="Arial" w:hAnsi="Arial"/>
      <w:b/>
      <w:bCs/>
    </w:rPr>
  </w:style>
  <w:style w:type="paragraph" w:customStyle="1" w:styleId="Heading21">
    <w:name w:val="Heading 21"/>
    <w:basedOn w:val="NormalWeb"/>
    <w:next w:val="Heading2"/>
    <w:autoRedefine/>
    <w:rsid w:val="008922F6"/>
    <w:pPr>
      <w:numPr>
        <w:ilvl w:val="1"/>
        <w:numId w:val="2"/>
      </w:numPr>
      <w:spacing w:before="240" w:beforeAutospacing="0" w:after="240" w:afterAutospacing="0"/>
    </w:pPr>
    <w:rPr>
      <w:rFonts w:ascii="Arial Narrow" w:hAnsi="Arial Narrow" w:cs="Arial"/>
      <w:b/>
      <w:color w:val="auto"/>
      <w:sz w:val="28"/>
      <w:szCs w:val="22"/>
    </w:rPr>
  </w:style>
  <w:style w:type="character" w:styleId="PlaceholderText">
    <w:name w:val="Placeholder Text"/>
    <w:basedOn w:val="DefaultParagraphFont"/>
    <w:uiPriority w:val="99"/>
    <w:semiHidden/>
    <w:rsid w:val="0069299B"/>
    <w:rPr>
      <w:color w:val="808080"/>
    </w:rPr>
  </w:style>
  <w:style w:type="character" w:customStyle="1" w:styleId="BodyTextChar">
    <w:name w:val="Body Text Char"/>
    <w:aliases w:val="Body Text Under Heading 1 Char"/>
    <w:basedOn w:val="DefaultParagraphFont"/>
    <w:link w:val="BodyText"/>
    <w:rsid w:val="005401A5"/>
    <w:rPr>
      <w:rFonts w:ascii="Arial" w:hAnsi="Arial"/>
      <w:sz w:val="22"/>
      <w:szCs w:val="24"/>
      <w:lang w:eastAsia="en-US"/>
    </w:rPr>
  </w:style>
  <w:style w:type="paragraph" w:styleId="TOCHeading">
    <w:name w:val="TOC Heading"/>
    <w:basedOn w:val="Heading1"/>
    <w:next w:val="Normal"/>
    <w:autoRedefine/>
    <w:uiPriority w:val="39"/>
    <w:unhideWhenUsed/>
    <w:qFormat/>
    <w:rsid w:val="000923E1"/>
    <w:pPr>
      <w:keepLines/>
      <w:widowControl/>
      <w:spacing w:before="480" w:line="276" w:lineRule="auto"/>
      <w:outlineLvl w:val="9"/>
    </w:pPr>
    <w:rPr>
      <w:rFonts w:eastAsiaTheme="majorEastAsia" w:cstheme="majorBidi"/>
      <w:bCs/>
      <w:i/>
      <w:snapToGrid/>
      <w:sz w:val="28"/>
      <w:szCs w:val="28"/>
      <w:lang w:val="en-US"/>
    </w:rPr>
  </w:style>
  <w:style w:type="paragraph" w:styleId="TOC1">
    <w:name w:val="toc 1"/>
    <w:basedOn w:val="Normal"/>
    <w:next w:val="Normal"/>
    <w:uiPriority w:val="39"/>
    <w:qFormat/>
    <w:rsid w:val="00541865"/>
    <w:pPr>
      <w:spacing w:after="100"/>
    </w:pPr>
  </w:style>
  <w:style w:type="paragraph" w:styleId="TOC2">
    <w:name w:val="toc 2"/>
    <w:basedOn w:val="Normal"/>
    <w:next w:val="Normal"/>
    <w:uiPriority w:val="39"/>
    <w:rsid w:val="00541865"/>
    <w:pPr>
      <w:spacing w:after="100"/>
      <w:ind w:left="220"/>
    </w:pPr>
  </w:style>
  <w:style w:type="paragraph" w:styleId="TOC3">
    <w:name w:val="toc 3"/>
    <w:basedOn w:val="Normal"/>
    <w:next w:val="Normal"/>
    <w:autoRedefine/>
    <w:uiPriority w:val="39"/>
    <w:rsid w:val="00B72466"/>
    <w:pPr>
      <w:spacing w:after="100"/>
      <w:ind w:left="440"/>
    </w:pPr>
  </w:style>
  <w:style w:type="paragraph" w:styleId="ListParagraph">
    <w:name w:val="List Paragraph"/>
    <w:basedOn w:val="Normal"/>
    <w:link w:val="ListParagraphChar"/>
    <w:uiPriority w:val="34"/>
    <w:qFormat/>
    <w:rsid w:val="00B72466"/>
    <w:pPr>
      <w:ind w:left="720"/>
      <w:contextualSpacing/>
    </w:pPr>
  </w:style>
  <w:style w:type="character" w:customStyle="1" w:styleId="FooterChar">
    <w:name w:val="Footer Char"/>
    <w:basedOn w:val="DefaultParagraphFont"/>
    <w:link w:val="Footer"/>
    <w:uiPriority w:val="99"/>
    <w:rsid w:val="00A863A9"/>
    <w:rPr>
      <w:rFonts w:ascii="Arial" w:hAnsi="Arial"/>
      <w:sz w:val="16"/>
      <w:szCs w:val="16"/>
    </w:rPr>
  </w:style>
  <w:style w:type="paragraph" w:styleId="Title">
    <w:name w:val="Title"/>
    <w:basedOn w:val="Normal"/>
    <w:next w:val="Normal"/>
    <w:link w:val="TitleChar"/>
    <w:autoRedefine/>
    <w:uiPriority w:val="10"/>
    <w:qFormat/>
    <w:rsid w:val="00636F70"/>
    <w:pPr>
      <w:widowControl w:val="0"/>
      <w:spacing w:before="240" w:after="240"/>
      <w:ind w:right="3401"/>
      <w:jc w:val="left"/>
    </w:pPr>
    <w:rPr>
      <w:rFonts w:eastAsiaTheme="majorEastAsia" w:cs="Arial"/>
      <w:spacing w:val="5"/>
      <w:kern w:val="28"/>
      <w:sz w:val="16"/>
      <w:szCs w:val="16"/>
    </w:rPr>
  </w:style>
  <w:style w:type="character" w:customStyle="1" w:styleId="TitleChar">
    <w:name w:val="Title Char"/>
    <w:basedOn w:val="DefaultParagraphFont"/>
    <w:link w:val="Title"/>
    <w:uiPriority w:val="10"/>
    <w:rsid w:val="00636F70"/>
    <w:rPr>
      <w:rFonts w:ascii="Arial" w:eastAsiaTheme="majorEastAsia" w:hAnsi="Arial" w:cs="Arial"/>
      <w:spacing w:val="5"/>
      <w:kern w:val="28"/>
      <w:sz w:val="16"/>
      <w:szCs w:val="16"/>
    </w:rPr>
  </w:style>
  <w:style w:type="character" w:customStyle="1" w:styleId="Heading3Char">
    <w:name w:val="Heading 3 Char"/>
    <w:basedOn w:val="DefaultParagraphFont"/>
    <w:link w:val="Heading3"/>
    <w:rsid w:val="00F1141A"/>
    <w:rPr>
      <w:rFonts w:ascii="Arial" w:hAnsi="Arial"/>
      <w:b/>
      <w:snapToGrid w:val="0"/>
      <w:color w:val="000000"/>
      <w:w w:val="0"/>
      <w:sz w:val="28"/>
      <w:szCs w:val="28"/>
      <w:lang w:eastAsia="en-US"/>
    </w:rPr>
  </w:style>
  <w:style w:type="character" w:styleId="FollowedHyperlink">
    <w:name w:val="FollowedHyperlink"/>
    <w:basedOn w:val="DefaultParagraphFont"/>
    <w:rsid w:val="0087749F"/>
    <w:rPr>
      <w:color w:val="800080" w:themeColor="followedHyperlink"/>
      <w:u w:val="single"/>
    </w:rPr>
  </w:style>
  <w:style w:type="character" w:customStyle="1" w:styleId="Heading4Char">
    <w:name w:val="Heading 4 Char"/>
    <w:basedOn w:val="DefaultParagraphFont"/>
    <w:link w:val="Heading4"/>
    <w:rsid w:val="0007552F"/>
    <w:rPr>
      <w:rFonts w:ascii="Arial Narrow" w:eastAsiaTheme="majorEastAsia" w:hAnsi="Arial Narrow" w:cstheme="majorBidi"/>
      <w:b/>
      <w:bCs/>
      <w:iCs/>
      <w:color w:val="000000" w:themeColor="text1"/>
      <w:sz w:val="28"/>
      <w:szCs w:val="24"/>
    </w:rPr>
  </w:style>
  <w:style w:type="character" w:customStyle="1" w:styleId="Heading5Char">
    <w:name w:val="Heading 5 Char"/>
    <w:basedOn w:val="DefaultParagraphFont"/>
    <w:link w:val="Heading5"/>
    <w:semiHidden/>
    <w:rsid w:val="00D139C5"/>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D139C5"/>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D139C5"/>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D139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139C5"/>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253233"/>
    <w:rPr>
      <w:rFonts w:ascii="Arial" w:hAnsi="Arial"/>
      <w:sz w:val="22"/>
      <w:szCs w:val="24"/>
    </w:rPr>
  </w:style>
  <w:style w:type="character" w:customStyle="1" w:styleId="Heading1Char">
    <w:name w:val="Heading 1 Char"/>
    <w:basedOn w:val="DefaultParagraphFont"/>
    <w:link w:val="Heading1"/>
    <w:rsid w:val="00527FC7"/>
    <w:rPr>
      <w:rFonts w:ascii="Arial Narrow" w:hAnsi="Arial Narrow"/>
      <w:b/>
      <w:snapToGrid w:val="0"/>
      <w:sz w:val="36"/>
      <w:lang w:eastAsia="en-US"/>
    </w:rPr>
  </w:style>
  <w:style w:type="character" w:customStyle="1" w:styleId="Verdana10">
    <w:name w:val="Verdana 10"/>
    <w:aliases w:val="Bold"/>
    <w:basedOn w:val="DefaultParagraphFont"/>
    <w:uiPriority w:val="1"/>
    <w:rsid w:val="002F1A74"/>
    <w:rPr>
      <w:rFonts w:ascii="Verdana" w:hAnsi="Verdana"/>
      <w:b/>
      <w:sz w:val="20"/>
    </w:rPr>
  </w:style>
  <w:style w:type="character" w:customStyle="1" w:styleId="Arialbold">
    <w:name w:val="Arialbold"/>
    <w:basedOn w:val="DefaultParagraphFont"/>
    <w:uiPriority w:val="1"/>
    <w:rsid w:val="002F1A74"/>
    <w:rPr>
      <w:rFonts w:ascii="Arial" w:hAnsi="Arial"/>
      <w:b/>
      <w:sz w:val="18"/>
    </w:rPr>
  </w:style>
  <w:style w:type="character" w:customStyle="1" w:styleId="Style2">
    <w:name w:val="Style2"/>
    <w:basedOn w:val="Arialbold"/>
    <w:uiPriority w:val="1"/>
    <w:rsid w:val="005215F5"/>
    <w:rPr>
      <w:rFonts w:ascii="Arial" w:hAnsi="Arial"/>
      <w:b/>
      <w:sz w:val="18"/>
    </w:rPr>
  </w:style>
  <w:style w:type="character" w:customStyle="1" w:styleId="Style3">
    <w:name w:val="Style3"/>
    <w:basedOn w:val="DefaultParagraphFont"/>
    <w:uiPriority w:val="1"/>
    <w:rsid w:val="00FA6C2B"/>
    <w:rPr>
      <w:rFonts w:ascii="Arial" w:hAnsi="Arial"/>
      <w:caps/>
      <w:smallCaps w:val="0"/>
      <w:color w:val="FF0000"/>
      <w:sz w:val="20"/>
    </w:rPr>
  </w:style>
  <w:style w:type="character" w:customStyle="1" w:styleId="Style4">
    <w:name w:val="Style4"/>
    <w:basedOn w:val="DefaultParagraphFont"/>
    <w:uiPriority w:val="1"/>
    <w:rsid w:val="00FA6C2B"/>
    <w:rPr>
      <w:rFonts w:ascii="Arial" w:hAnsi="Arial"/>
      <w:caps/>
      <w:smallCaps w:val="0"/>
      <w:color w:val="FF0000"/>
      <w:sz w:val="20"/>
    </w:rPr>
  </w:style>
  <w:style w:type="paragraph" w:styleId="ListBullet">
    <w:name w:val="List Bullet"/>
    <w:basedOn w:val="ListParagraph"/>
    <w:qFormat/>
    <w:rsid w:val="002C19D4"/>
    <w:pPr>
      <w:numPr>
        <w:numId w:val="3"/>
      </w:numPr>
      <w:ind w:left="567" w:hanging="567"/>
      <w:contextualSpacing w:val="0"/>
    </w:pPr>
  </w:style>
  <w:style w:type="paragraph" w:styleId="BodyText2">
    <w:name w:val="Body Text 2"/>
    <w:basedOn w:val="Normal"/>
    <w:link w:val="BodyText2Char"/>
    <w:rsid w:val="005401A5"/>
    <w:pPr>
      <w:ind w:left="284"/>
    </w:pPr>
    <w:rPr>
      <w:lang w:eastAsia="en-US"/>
    </w:rPr>
  </w:style>
  <w:style w:type="character" w:customStyle="1" w:styleId="BodyText2Char">
    <w:name w:val="Body Text 2 Char"/>
    <w:basedOn w:val="DefaultParagraphFont"/>
    <w:link w:val="BodyText2"/>
    <w:rsid w:val="005401A5"/>
    <w:rPr>
      <w:rFonts w:ascii="Arial" w:hAnsi="Arial"/>
      <w:sz w:val="22"/>
      <w:szCs w:val="24"/>
      <w:lang w:eastAsia="en-US"/>
    </w:rPr>
  </w:style>
  <w:style w:type="paragraph" w:styleId="BodyText3">
    <w:name w:val="Body Text 3"/>
    <w:basedOn w:val="Normal"/>
    <w:link w:val="BodyText3Char"/>
    <w:rsid w:val="005401A5"/>
    <w:rPr>
      <w:sz w:val="16"/>
      <w:szCs w:val="16"/>
    </w:rPr>
  </w:style>
  <w:style w:type="character" w:customStyle="1" w:styleId="BodyText3Char">
    <w:name w:val="Body Text 3 Char"/>
    <w:basedOn w:val="DefaultParagraphFont"/>
    <w:link w:val="BodyText3"/>
    <w:rsid w:val="005401A5"/>
    <w:rPr>
      <w:rFonts w:ascii="Arial" w:hAnsi="Arial"/>
      <w:sz w:val="16"/>
      <w:szCs w:val="16"/>
    </w:rPr>
  </w:style>
  <w:style w:type="paragraph" w:styleId="BodyTextFirstIndent">
    <w:name w:val="Body Text First Indent"/>
    <w:aliases w:val="Body Text Heading 2"/>
    <w:basedOn w:val="BodyText"/>
    <w:link w:val="BodyTextFirstIndentChar"/>
    <w:qFormat/>
    <w:rsid w:val="005401A5"/>
    <w:pPr>
      <w:ind w:firstLine="360"/>
    </w:pPr>
    <w:rPr>
      <w:lang w:eastAsia="en-AU"/>
    </w:rPr>
  </w:style>
  <w:style w:type="character" w:customStyle="1" w:styleId="BodyTextFirstIndentChar">
    <w:name w:val="Body Text First Indent Char"/>
    <w:aliases w:val="Body Text Heading 2 Char"/>
    <w:basedOn w:val="BodyTextChar"/>
    <w:link w:val="BodyTextFirstIndent"/>
    <w:rsid w:val="005401A5"/>
    <w:rPr>
      <w:rFonts w:ascii="Arial" w:hAnsi="Arial"/>
      <w:sz w:val="22"/>
      <w:szCs w:val="24"/>
      <w:lang w:eastAsia="en-US"/>
    </w:rPr>
  </w:style>
  <w:style w:type="paragraph" w:styleId="BodyTextIndent">
    <w:name w:val="Body Text Indent"/>
    <w:basedOn w:val="Normal"/>
    <w:link w:val="BodyTextIndentChar"/>
    <w:rsid w:val="005401A5"/>
    <w:pPr>
      <w:ind w:left="283"/>
    </w:pPr>
  </w:style>
  <w:style w:type="character" w:customStyle="1" w:styleId="BodyTextIndentChar">
    <w:name w:val="Body Text Indent Char"/>
    <w:basedOn w:val="DefaultParagraphFont"/>
    <w:link w:val="BodyTextIndent"/>
    <w:rsid w:val="005401A5"/>
    <w:rPr>
      <w:rFonts w:ascii="Arial" w:hAnsi="Arial"/>
      <w:sz w:val="22"/>
      <w:szCs w:val="24"/>
    </w:rPr>
  </w:style>
  <w:style w:type="paragraph" w:styleId="BodyTextFirstIndent2">
    <w:name w:val="Body Text First Indent 2"/>
    <w:aliases w:val="Body Text under Heading 3"/>
    <w:basedOn w:val="BodyTextIndent"/>
    <w:link w:val="BodyTextFirstIndent2Char"/>
    <w:qFormat/>
    <w:rsid w:val="005401A5"/>
    <w:pPr>
      <w:ind w:left="360" w:firstLine="360"/>
    </w:pPr>
  </w:style>
  <w:style w:type="character" w:customStyle="1" w:styleId="BodyTextFirstIndent2Char">
    <w:name w:val="Body Text First Indent 2 Char"/>
    <w:aliases w:val="Body Text under Heading 3 Char"/>
    <w:basedOn w:val="BodyTextIndentChar"/>
    <w:link w:val="BodyTextFirstIndent2"/>
    <w:rsid w:val="005401A5"/>
    <w:rPr>
      <w:rFonts w:ascii="Arial" w:hAnsi="Arial"/>
      <w:sz w:val="22"/>
      <w:szCs w:val="24"/>
    </w:rPr>
  </w:style>
  <w:style w:type="paragraph" w:styleId="ListBullet2">
    <w:name w:val="List Bullet 2"/>
    <w:basedOn w:val="ListBullet"/>
    <w:qFormat/>
    <w:rsid w:val="002C19D4"/>
    <w:pPr>
      <w:numPr>
        <w:numId w:val="24"/>
      </w:numPr>
      <w:spacing w:after="0"/>
      <w:ind w:left="851" w:hanging="284"/>
      <w:contextualSpacing/>
    </w:pPr>
  </w:style>
  <w:style w:type="paragraph" w:styleId="ListBullet3">
    <w:name w:val="List Bullet 3"/>
    <w:basedOn w:val="ListBullet2"/>
    <w:rsid w:val="002C19D4"/>
    <w:pPr>
      <w:numPr>
        <w:numId w:val="25"/>
      </w:numPr>
      <w:ind w:left="1135" w:hanging="284"/>
    </w:pPr>
  </w:style>
  <w:style w:type="table" w:styleId="TableGridLight">
    <w:name w:val="Grid Table Light"/>
    <w:basedOn w:val="TableNormal"/>
    <w:uiPriority w:val="40"/>
    <w:rsid w:val="007A07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40pt">
    <w:name w:val="Heading 1 40pt"/>
    <w:qFormat/>
    <w:rsid w:val="008C4722"/>
    <w:pPr>
      <w:spacing w:after="840"/>
    </w:pPr>
    <w:rPr>
      <w:rFonts w:ascii="Public Sans Light" w:eastAsiaTheme="majorEastAsia" w:hAnsi="Public Sans Light" w:cstheme="majorBidi"/>
      <w:spacing w:val="5"/>
      <w:kern w:val="28"/>
      <w:sz w:val="80"/>
      <w:szCs w:val="40"/>
    </w:rPr>
  </w:style>
  <w:style w:type="paragraph" w:customStyle="1" w:styleId="Heading218pt">
    <w:name w:val="Heading 2 18pt"/>
    <w:basedOn w:val="Heading140pt"/>
    <w:qFormat/>
    <w:rsid w:val="00357FE4"/>
    <w:pPr>
      <w:spacing w:before="360" w:after="120"/>
    </w:pPr>
    <w:rPr>
      <w:spacing w:val="0"/>
      <w:sz w:val="36"/>
    </w:rPr>
  </w:style>
  <w:style w:type="paragraph" w:customStyle="1" w:styleId="Heading314pt">
    <w:name w:val="Heading 3 14pt"/>
    <w:basedOn w:val="Heading218pt"/>
    <w:qFormat/>
    <w:rsid w:val="008C4722"/>
    <w:rPr>
      <w:rFonts w:ascii="Public Sans Medium" w:hAnsi="Public Sans Medium"/>
      <w:sz w:val="28"/>
    </w:rPr>
  </w:style>
  <w:style w:type="paragraph" w:customStyle="1" w:styleId="Heading412pt">
    <w:name w:val="Heading 4 12pt"/>
    <w:qFormat/>
    <w:rsid w:val="002E0E06"/>
    <w:pPr>
      <w:spacing w:before="300" w:after="60"/>
    </w:pPr>
    <w:rPr>
      <w:rFonts w:ascii="Arial" w:eastAsiaTheme="majorEastAsia" w:hAnsi="Arial" w:cstheme="majorBidi"/>
      <w:b/>
      <w:bCs/>
      <w:spacing w:val="5"/>
      <w:kern w:val="28"/>
      <w:sz w:val="24"/>
      <w:szCs w:val="28"/>
    </w:rPr>
  </w:style>
  <w:style w:type="paragraph" w:customStyle="1" w:styleId="Heading511pt">
    <w:name w:val="Heading 5 11pt"/>
    <w:basedOn w:val="Heading412pt"/>
    <w:qFormat/>
    <w:rsid w:val="003F189C"/>
    <w:rPr>
      <w:rFonts w:ascii="Arial Black" w:hAnsi="Arial Black"/>
      <w:color w:val="146CFD"/>
      <w:sz w:val="22"/>
    </w:rPr>
  </w:style>
  <w:style w:type="paragraph" w:customStyle="1" w:styleId="Body0">
    <w:name w:val="Body"/>
    <w:qFormat/>
    <w:rsid w:val="001B5A8A"/>
    <w:pPr>
      <w:spacing w:before="120" w:after="240"/>
      <w:ind w:left="57" w:right="113"/>
    </w:pPr>
    <w:rPr>
      <w:rFonts w:ascii="Public Sans Light" w:eastAsia="Calibri" w:hAnsi="Public Sans Light" w:cstheme="majorBidi"/>
      <w:color w:val="000000" w:themeColor="text1"/>
      <w:kern w:val="28"/>
      <w:szCs w:val="28"/>
      <w:lang w:eastAsia="en-US"/>
    </w:rPr>
  </w:style>
  <w:style w:type="table" w:customStyle="1" w:styleId="DPIEnormal">
    <w:name w:val="DPIE normal"/>
    <w:basedOn w:val="TableNormal"/>
    <w:uiPriority w:val="99"/>
    <w:rsid w:val="0000109B"/>
    <w:rPr>
      <w:rFonts w:ascii="Arial" w:eastAsiaTheme="minorHAnsi" w:hAnsi="Arial" w:cstheme="minorBidi"/>
      <w:szCs w:val="22"/>
      <w:lang w:eastAsia="en-US"/>
    </w:rPr>
    <w:tblPr>
      <w:tblBorders>
        <w:insideH w:val="single" w:sz="4" w:space="0" w:color="1F497D" w:themeColor="text2"/>
        <w:insideV w:val="single" w:sz="4" w:space="0" w:color="1F497D" w:themeColor="text2"/>
      </w:tblBorders>
      <w:tblCellMar>
        <w:left w:w="85" w:type="dxa"/>
        <w:right w:w="85" w:type="dxa"/>
      </w:tblCellMar>
    </w:tblPr>
    <w:trPr>
      <w:cantSplit/>
    </w:trPr>
    <w:tblStylePr w:type="firstRow">
      <w:pPr>
        <w:jc w:val="left"/>
      </w:pPr>
      <w:rPr>
        <w:b/>
      </w:rPr>
      <w:tblPr/>
      <w:tcPr>
        <w:shd w:val="clear" w:color="auto" w:fill="002664"/>
      </w:tcPr>
    </w:tblStylePr>
  </w:style>
  <w:style w:type="character" w:customStyle="1" w:styleId="ListParagraphChar">
    <w:name w:val="List Paragraph Char"/>
    <w:basedOn w:val="DefaultParagraphFont"/>
    <w:link w:val="ListParagraph"/>
    <w:uiPriority w:val="34"/>
    <w:locked/>
    <w:rsid w:val="003F189C"/>
    <w:rPr>
      <w:rFonts w:ascii="Arial" w:hAnsi="Arial"/>
      <w:sz w:val="22"/>
      <w:szCs w:val="24"/>
    </w:rPr>
  </w:style>
  <w:style w:type="paragraph" w:customStyle="1" w:styleId="BulletLead11pt">
    <w:name w:val="Bullet Lead 11pt"/>
    <w:basedOn w:val="Body0"/>
    <w:qFormat/>
    <w:rsid w:val="00D96829"/>
    <w:pPr>
      <w:spacing w:after="120"/>
    </w:pPr>
  </w:style>
  <w:style w:type="paragraph" w:customStyle="1" w:styleId="Bullet1">
    <w:name w:val="Bullet 1"/>
    <w:basedOn w:val="Body0"/>
    <w:qFormat/>
    <w:rsid w:val="00357FE4"/>
    <w:pPr>
      <w:numPr>
        <w:numId w:val="37"/>
      </w:numPr>
      <w:spacing w:before="0" w:after="120"/>
      <w:ind w:left="714" w:hanging="357"/>
    </w:pPr>
    <w:rPr>
      <w:rFonts w:cs="Arial"/>
    </w:rPr>
  </w:style>
  <w:style w:type="paragraph" w:customStyle="1" w:styleId="TableHeading">
    <w:name w:val="Table Heading"/>
    <w:basedOn w:val="Heading412pt"/>
    <w:qFormat/>
    <w:rsid w:val="006625C3"/>
    <w:pPr>
      <w:spacing w:before="360" w:after="120"/>
    </w:pPr>
  </w:style>
  <w:style w:type="paragraph" w:customStyle="1" w:styleId="Tablecellheader">
    <w:name w:val="Table cell header"/>
    <w:basedOn w:val="Heading412pt"/>
    <w:qFormat/>
    <w:rsid w:val="007B25E1"/>
    <w:pPr>
      <w:spacing w:before="120" w:after="120"/>
    </w:pPr>
    <w:rPr>
      <w:rFonts w:ascii="Public Sans SemiBold" w:eastAsia="Calibri" w:hAnsi="Public Sans SemiBold"/>
      <w:b w:val="0"/>
      <w:spacing w:val="0"/>
      <w:sz w:val="18"/>
      <w:lang w:eastAsia="en-US"/>
    </w:rPr>
  </w:style>
  <w:style w:type="paragraph" w:customStyle="1" w:styleId="Tablebody0">
    <w:name w:val="Table body"/>
    <w:basedOn w:val="Body0"/>
    <w:qFormat/>
    <w:rsid w:val="007B25E1"/>
    <w:pPr>
      <w:spacing w:after="120"/>
      <w:ind w:right="57"/>
    </w:pPr>
    <w:rPr>
      <w:sz w:val="18"/>
    </w:rPr>
  </w:style>
  <w:style w:type="paragraph" w:customStyle="1" w:styleId="Bulletlast">
    <w:name w:val="Bullet last"/>
    <w:basedOn w:val="Bullet1"/>
    <w:qFormat/>
    <w:rsid w:val="000D5030"/>
    <w:pPr>
      <w:spacing w:after="240"/>
    </w:pPr>
  </w:style>
  <w:style w:type="paragraph" w:customStyle="1" w:styleId="Introduction">
    <w:name w:val="Introduction"/>
    <w:basedOn w:val="Heading218pt"/>
    <w:qFormat/>
    <w:rsid w:val="00384C7D"/>
    <w:pPr>
      <w:spacing w:before="1440"/>
    </w:pPr>
  </w:style>
  <w:style w:type="paragraph" w:customStyle="1" w:styleId="Introduction-insidebluebox">
    <w:name w:val="Introduction - inside blue box"/>
    <w:basedOn w:val="Heading218pt"/>
    <w:qFormat/>
    <w:rsid w:val="008C4722"/>
    <w:pPr>
      <w:spacing w:before="120"/>
    </w:pPr>
  </w:style>
  <w:style w:type="paragraph" w:customStyle="1" w:styleId="BodyBold">
    <w:name w:val="Body Bold"/>
    <w:basedOn w:val="Normal"/>
    <w:qFormat/>
    <w:rsid w:val="00861DB5"/>
    <w:rPr>
      <w:rFonts w:ascii="Public Sans SemiBold" w:eastAsia="Calibri" w:hAnsi="Public Sans SemiBold"/>
      <w:sz w:val="20"/>
    </w:rPr>
  </w:style>
  <w:style w:type="paragraph" w:customStyle="1" w:styleId="Heading3-spaceaftertable">
    <w:name w:val="Heading 3 - space after table"/>
    <w:basedOn w:val="Heading314pt"/>
    <w:qFormat/>
    <w:rsid w:val="00B62A41"/>
  </w:style>
  <w:style w:type="paragraph" w:customStyle="1" w:styleId="BodyBlueBox-nospaceafter">
    <w:name w:val="Body Blue Box - no space after"/>
    <w:basedOn w:val="Body0"/>
    <w:qFormat/>
    <w:rsid w:val="00B62A41"/>
    <w:pPr>
      <w:spacing w:after="120"/>
    </w:pPr>
  </w:style>
  <w:style w:type="table" w:customStyle="1" w:styleId="NSW-DPIEExplanatoryText">
    <w:name w:val="NSW-DPIE Explanatory Text"/>
    <w:basedOn w:val="TableNormal"/>
    <w:uiPriority w:val="99"/>
    <w:rsid w:val="007B25E1"/>
    <w:pPr>
      <w:spacing w:before="120" w:after="240"/>
      <w:ind w:left="57" w:right="57"/>
    </w:pPr>
    <w:rPr>
      <w:rFonts w:ascii="Public Sans Light" w:eastAsiaTheme="minorHAnsi" w:hAnsi="Public Sans Light" w:cstheme="minorBidi"/>
      <w:szCs w:val="22"/>
      <w:lang w:eastAsia="en-US"/>
    </w:rPr>
    <w:tblPr/>
    <w:tcPr>
      <w:shd w:val="clear" w:color="auto" w:fill="CBEDFD"/>
    </w:tcPr>
  </w:style>
  <w:style w:type="paragraph" w:customStyle="1" w:styleId="Bodybold-spaceabove">
    <w:name w:val="Body bold - space above"/>
    <w:basedOn w:val="BodyBold"/>
    <w:qFormat/>
    <w:rsid w:val="005F20A0"/>
    <w:pPr>
      <w:spacing w:before="120"/>
    </w:pPr>
  </w:style>
  <w:style w:type="table" w:customStyle="1" w:styleId="NSWGov-DPIE-Header">
    <w:name w:val="NSW Gov - DPIE - Header"/>
    <w:basedOn w:val="TableNormal"/>
    <w:uiPriority w:val="99"/>
    <w:rsid w:val="00B5786C"/>
    <w:pPr>
      <w:spacing w:before="120" w:after="240"/>
      <w:ind w:left="57" w:right="57"/>
    </w:pPr>
    <w:rPr>
      <w:rFonts w:ascii="Public Sans Light" w:eastAsiaTheme="minorHAnsi" w:hAnsi="Public Sans Light"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Public Sans SemiBold" w:hAnsi="Public Sans SemiBold"/>
        <w:b w:val="0"/>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cBorders>
        <w:shd w:val="clear" w:color="auto" w:fill="002664"/>
      </w:tcPr>
    </w:tblStylePr>
  </w:style>
  <w:style w:type="paragraph" w:customStyle="1" w:styleId="TableNarrow">
    <w:name w:val="Table Narrow"/>
    <w:basedOn w:val="Tablebody0"/>
    <w:qFormat/>
    <w:rsid w:val="00B5786C"/>
    <w:rPr>
      <w:rFonts w:ascii="Arial Narrow" w:hAnsi="Arial Narrow"/>
    </w:rPr>
  </w:style>
  <w:style w:type="paragraph" w:customStyle="1" w:styleId="StyleTablebodyLatinArialNarrow">
    <w:name w:val="Style Table body + (Latin) Arial Narrow"/>
    <w:basedOn w:val="Tablebody0"/>
    <w:rsid w:val="00B5786C"/>
    <w:rPr>
      <w:rFonts w:ascii="Arial Narrow" w:hAnsi="Arial Narrow"/>
    </w:rPr>
  </w:style>
  <w:style w:type="paragraph" w:customStyle="1" w:styleId="Heading1smaller">
    <w:name w:val="Heading 1 smaller"/>
    <w:basedOn w:val="Heading140pt"/>
    <w:qFormat/>
    <w:rsid w:val="00F73AD6"/>
    <w:pPr>
      <w:spacing w:after="4000"/>
    </w:pPr>
    <w:rPr>
      <w:sz w:val="56"/>
    </w:rPr>
  </w:style>
  <w:style w:type="character" w:styleId="UnresolvedMention">
    <w:name w:val="Unresolved Mention"/>
    <w:basedOn w:val="DefaultParagraphFont"/>
    <w:rsid w:val="00C65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climatechange.vic.gov.au/__data/assets/pdf_file/0038/489683/RAS-GN2_Establishing-a-Learning-Framework-.pdf" TargetMode="External"/><Relationship Id="rId3" Type="http://schemas.openxmlformats.org/officeDocument/2006/relationships/customXml" Target="../customXml/item3.xml"/><Relationship Id="rId21" Type="http://schemas.openxmlformats.org/officeDocument/2006/relationships/hyperlink" Target="https://www.climatechange.environment.nsw.gov.au/sites/default/files/2023-09/Local%20Government%20Climate%20Readiness%20Tool.xlsx" TargetMode="External"/><Relationship Id="rId7" Type="http://schemas.openxmlformats.org/officeDocument/2006/relationships/webSettings" Target="webSettings.xml"/><Relationship Id="rId12" Type="http://schemas.openxmlformats.org/officeDocument/2006/relationships/hyperlink" Target="https://www.climatechange.environment.nsw.gov.au/sites/default/files/2023-09/Local%20Government%20Climate%20Readiness%20Tool.xlsx" TargetMode="External"/><Relationship Id="rId17" Type="http://schemas.openxmlformats.org/officeDocument/2006/relationships/hyperlink" Target="https://www.adaptationscotland.org.uk/how-adapt/tools-and-resources/monitoring-evaluation" TargetMode="External"/><Relationship Id="rId2" Type="http://schemas.openxmlformats.org/officeDocument/2006/relationships/customXml" Target="../customXml/item2.xml"/><Relationship Id="rId16" Type="http://schemas.openxmlformats.org/officeDocument/2006/relationships/hyperlink" Target="https://www.climatechange.environment.nsw.gov.au/sites/default/files/2023-09/Local%20Government%20Climate%20Readiness%20Tool.xlsx" TargetMode="External"/><Relationship Id="rId20" Type="http://schemas.openxmlformats.org/officeDocument/2006/relationships/hyperlink" Target="https://www.hunterjo.com.au/wp-content/uploads/2021/09/AoA-Climate-Change-IPR-Packag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matechange.environment.nsw.gov.au/sites/default/files/2023-09/Local%20Government%20Climate%20Readiness%20Tool.xlsx" TargetMode="External"/><Relationship Id="rId5" Type="http://schemas.openxmlformats.org/officeDocument/2006/relationships/styles" Target="styles.xml"/><Relationship Id="rId15" Type="http://schemas.openxmlformats.org/officeDocument/2006/relationships/hyperlink" Target="https://www.climatechange.environment.nsw.gov.au/sites/default/files/2023-09/Local%20Government%20Climate%20Readiness%20Tool.xlsx" TargetMode="External"/><Relationship Id="rId23" Type="http://schemas.openxmlformats.org/officeDocument/2006/relationships/theme" Target="theme/theme1.xml"/><Relationship Id="rId10" Type="http://schemas.openxmlformats.org/officeDocument/2006/relationships/hyperlink" Target="https://www.climatechange.environment.nsw.gov.au/sites/default/files/2021-06/NSW%20Climate%20risk%20ready%20guide.pdf" TargetMode="External"/><Relationship Id="rId19" Type="http://schemas.openxmlformats.org/officeDocument/2006/relationships/hyperlink" Target="https://climatechange.environment.nsw.gov.au/-/media/NARCLim/Files/Section-4-PDFs/Climate-Risk-Ready/NSW-Climate-risk-ready-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67854\Downloads\Policy-Template-HSN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F83A1803057114498BA224FF318F5799" ma:contentTypeVersion="19" ma:contentTypeDescription="Create a new document." ma:contentTypeScope="" ma:versionID="1ee509ac7182ad291c729519bed16d6f">
  <xsd:schema xmlns:xsd="http://www.w3.org/2001/XMLSchema" xmlns:xs="http://www.w3.org/2001/XMLSchema" xmlns:p="http://schemas.microsoft.com/office/2006/metadata/properties" xmlns:ns1="http://schemas.microsoft.com/sharepoint/v3" xmlns:ns2="e371a6a9-019b-498c-af23-1c7acf800c8e" xmlns:ns3="2ae47083-0ef1-4347-aed0-68638b867418" targetNamespace="http://schemas.microsoft.com/office/2006/metadata/properties" ma:root="true" ma:fieldsID="98570485fd77362804f08e53e27bdde5" ns1:_="" ns2:_="" ns3:_="">
    <xsd:import namespace="http://schemas.microsoft.com/sharepoint/v3"/>
    <xsd:import namespace="e371a6a9-019b-498c-af23-1c7acf800c8e"/>
    <xsd:import namespace="2ae47083-0ef1-4347-aed0-68638b867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1a6a9-019b-498c-af23-1c7acf800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47083-0ef1-4347-aed0-68638b8674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3b37b5-0ab6-4aba-b322-bf1ebc1bf82e}" ma:internalName="TaxCatchAll" ma:showField="CatchAllData" ma:web="2ae47083-0ef1-4347-aed0-68638b867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5476D-15FC-5544-8A09-876354309850}">
  <ds:schemaRefs>
    <ds:schemaRef ds:uri="http://schemas.openxmlformats.org/officeDocument/2006/bibliography"/>
  </ds:schemaRefs>
</ds:datastoreItem>
</file>

<file path=customXml/itemProps2.xml><?xml version="1.0" encoding="utf-8"?>
<ds:datastoreItem xmlns:ds="http://schemas.openxmlformats.org/officeDocument/2006/customXml" ds:itemID="{9E663BA4-79FE-487F-86B9-39BB053D7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71a6a9-019b-498c-af23-1c7acf800c8e"/>
    <ds:schemaRef ds:uri="2ae47083-0ef1-4347-aed0-68638b867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28C53-52FD-4A99-9709-F7EE74CA8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Policy-Template-HSNSW.dotx</Template>
  <TotalTime>1</TotalTime>
  <Pages>14</Pages>
  <Words>3766</Words>
  <Characters>21468</Characters>
  <Application>Microsoft Office Word</Application>
  <DocSecurity>0</DocSecurity>
  <Lines>178</Lines>
  <Paragraphs>50</Paragraphs>
  <ScaleCrop>false</ScaleCrop>
  <Company>Health Technology</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Cobranded guideline template</dc:title>
  <dc:creator>Amanda Bainbridge</dc:creator>
  <cp:lastModifiedBy>Ciska White</cp:lastModifiedBy>
  <cp:revision>12</cp:revision>
  <cp:lastPrinted>2013-11-15T00:43:00Z</cp:lastPrinted>
  <dcterms:created xsi:type="dcterms:W3CDTF">2022-11-21T00:48:00Z</dcterms:created>
  <dcterms:modified xsi:type="dcterms:W3CDTF">2023-09-26T03:09:00Z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0x010100F83A1803057114498BA224FF318F5799</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ies>
</file>